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Revenue concentration in the main product line increased and retention improved. Cost pressure and regional competition remain the principal risks to monitor.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