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line="312"/>
      </w:pPr>
      <w:r>
        <w:rPr>
          <w:rFonts w:ascii="Arial"/>
          <w:b/>
          <w:bCs/>
          <w:color w:val="5B2C6F"/>
          <w:sz w:val="30"/>
          <w:szCs w:val="30"/>
        </w:rPr>
        <w:t xml:space="preserve">Summary and Recommendations</w:t>
      </w:r>
    </w:p>
    <w:p>
      <w:pPr>
        <w:spacing w:line="312"/>
        <w:jc w:val="both"/>
      </w:pPr>
      <w:r>
        <w:rPr>
          <w:rFonts w:ascii="Times New Roman"/>
          <w:color w:val="333333"/>
          <w:sz w:val="24"/>
          <w:szCs w:val="24"/>
        </w:rPr>
        <w:t xml:space="preserve">Cross-team efficiency rose and delivery lead times shortened versus last quarter. Cost pressure and regional competition remain the principal risks to monitor. The business delivered steady growth this quarter, with core KPIs on target.</w:t>
      </w:r>
    </w:p>
    <w:p>
      <w:pPr>
        <w:pStyle w:val="Heading1"/>
        <w:spacing w:after="120" w:before="240" w:line="312"/>
      </w:pPr>
      <w:r>
        <w:rPr>
          <w:rFonts w:ascii="Arial"/>
          <w:b/>
          <w:bCs/>
          <w:color w:val="5B2C6F"/>
          <w:sz w:val="30"/>
          <w:szCs w:val="30"/>
        </w:rPr>
        <w:t xml:space="preserve">Risks and Challenges</w:t>
      </w:r>
    </w:p>
    <w:p>
      <w:pPr>
        <w:spacing w:line="312"/>
        <w:jc w:val="both"/>
      </w:pPr>
      <w:r>
        <w:rPr>
          <w:rFonts w:ascii="Times New Roman"/>
          <w:color w:val="333333"/>
          <w:sz w:val="24"/>
          <w:szCs w:val="24"/>
        </w:rPr>
        <w:t xml:space="preserve">Cross-team efficiency rose and delivery lead times shortened versus last quarter. Cost pressure and regional competition remain the principal risks to monitor. Revenue concentration in the main product line increased and retention improved.</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769"/>
        <w:gridCol w:w="2769"/>
        <w:gridCol w:w="2769"/>
      </w:tblGrid>
      <w:tr>
        <w:trPr>
          <w:cantSplit/>
          <w:tblHeader/>
        </w:trPr>
        <w:tc>
          <w:tcPr>
            <w:shd w:fill="5B2C6F" w:val="clear"/>
            <w:tcMar>
              <w:top w:type="dxa" w:w="100"/>
              <w:left w:type="dxa" w:w="150"/>
              <w:bottom w:type="dxa" w:w="100"/>
              <w:right w:type="dxa" w:w="150"/>
            </w:tcMar>
          </w:tcPr>
          <w:p>
            <w:pPr>
              <w:spacing w:line="312"/>
            </w:pPr>
            <w:r>
              <w:rPr>
                <w:rFonts w:ascii="Arial"/>
                <w:b/>
                <w:bCs/>
                <w:color w:val="FFFFFF"/>
                <w:sz w:val="21"/>
                <w:szCs w:val="21"/>
              </w:rPr>
              <w:t xml:space="preserve">Item</w:t>
            </w:r>
          </w:p>
        </w:tc>
        <w:tc>
          <w:tcPr>
            <w:shd w:fill="5B2C6F" w:val="clear"/>
            <w:tcMar>
              <w:top w:type="dxa" w:w="100"/>
              <w:left w:type="dxa" w:w="150"/>
              <w:bottom w:type="dxa" w:w="100"/>
              <w:right w:type="dxa" w:w="150"/>
            </w:tcMar>
          </w:tcPr>
          <w:p>
            <w:pPr>
              <w:spacing w:line="312"/>
            </w:pPr>
            <w:r>
              <w:rPr>
                <w:rFonts w:ascii="Arial"/>
                <w:b/>
                <w:bCs/>
                <w:color w:val="FFFFFF"/>
                <w:sz w:val="21"/>
                <w:szCs w:val="21"/>
              </w:rPr>
              <w:t xml:space="preserve">Revenue (k)</w:t>
            </w:r>
          </w:p>
        </w:tc>
        <w:tc>
          <w:tcPr>
            <w:shd w:fill="5B2C6F" w:val="clear"/>
            <w:tcMar>
              <w:top w:type="dxa" w:w="100"/>
              <w:left w:type="dxa" w:w="150"/>
              <w:bottom w:type="dxa" w:w="100"/>
              <w:right w:type="dxa" w:w="150"/>
            </w:tcMar>
          </w:tcPr>
          <w:p>
            <w:pPr>
              <w:spacing w:line="312"/>
            </w:pPr>
            <w:r>
              <w:rPr>
                <w:rFonts w:ascii="Arial"/>
                <w:b/>
                <w:bCs/>
                <w:color w:val="FFFFFF"/>
                <w:sz w:val="21"/>
                <w:szCs w:val="21"/>
              </w:rPr>
              <w:t xml:space="preserve">YoY</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Pulse Dashboard</w:t>
            </w:r>
          </w:p>
        </w:tc>
        <w:tc>
          <w:tcPr>
            <w:shd w:fill="FFFFFF" w:val="clear"/>
            <w:tcMar>
              <w:top w:type="dxa" w:w="80"/>
              <w:left w:type="dxa" w:w="150"/>
              <w:bottom w:type="dxa" w:w="80"/>
              <w:right w:type="dxa" w:w="150"/>
            </w:tcMar>
          </w:tcPr>
          <w:p>
            <w:pPr>
              <w:spacing w:line="312"/>
            </w:pPr>
            <w:r>
              <w:rPr>
                <w:rFonts w:ascii="Times New Roman"/>
                <w:sz w:val="21"/>
                <w:szCs w:val="21"/>
              </w:rPr>
              <w:t xml:space="preserve">813</w:t>
            </w:r>
          </w:p>
        </w:tc>
        <w:tc>
          <w:tcPr>
            <w:shd w:fill="FFFFFF" w:val="clear"/>
            <w:tcMar>
              <w:top w:type="dxa" w:w="80"/>
              <w:left w:type="dxa" w:w="150"/>
              <w:bottom w:type="dxa" w:w="80"/>
              <w:right w:type="dxa" w:w="150"/>
            </w:tcMar>
          </w:tcPr>
          <w:p>
            <w:pPr>
              <w:spacing w:line="312"/>
            </w:pPr>
            <w:r>
              <w:rPr>
                <w:rFonts w:ascii="Times New Roman"/>
                <w:sz w:val="21"/>
                <w:szCs w:val="21"/>
              </w:rPr>
              <w:t xml:space="preserve">-2.7%</w:t>
            </w:r>
          </w:p>
        </w:tc>
      </w:tr>
      <w:tr>
        <w:trPr>
          <w:cantSplit/>
        </w:trPr>
        <w:tc>
          <w:tcPr>
            <w:shd w:fill="EADDF3" w:val="clear"/>
            <w:tcMar>
              <w:top w:type="dxa" w:w="80"/>
              <w:left w:type="dxa" w:w="150"/>
              <w:bottom w:type="dxa" w:w="80"/>
              <w:right w:type="dxa" w:w="150"/>
            </w:tcMar>
          </w:tcPr>
          <w:p>
            <w:pPr>
              <w:spacing w:line="312"/>
            </w:pPr>
            <w:r>
              <w:rPr>
                <w:rFonts w:ascii="Times New Roman"/>
                <w:sz w:val="21"/>
                <w:szCs w:val="21"/>
              </w:rPr>
              <w:t xml:space="preserve">People Ops</w:t>
            </w:r>
          </w:p>
        </w:tc>
        <w:tc>
          <w:tcPr>
            <w:shd w:fill="EADDF3" w:val="clear"/>
            <w:tcMar>
              <w:top w:type="dxa" w:w="80"/>
              <w:left w:type="dxa" w:w="150"/>
              <w:bottom w:type="dxa" w:w="80"/>
              <w:right w:type="dxa" w:w="150"/>
            </w:tcMar>
          </w:tcPr>
          <w:p>
            <w:pPr>
              <w:spacing w:line="312"/>
            </w:pPr>
            <w:r>
              <w:rPr>
                <w:rFonts w:ascii="Times New Roman"/>
                <w:sz w:val="21"/>
                <w:szCs w:val="21"/>
              </w:rPr>
              <w:t xml:space="preserve">909</w:t>
            </w:r>
          </w:p>
        </w:tc>
        <w:tc>
          <w:tcPr>
            <w:shd w:fill="EADDF3" w:val="clear"/>
            <w:tcMar>
              <w:top w:type="dxa" w:w="80"/>
              <w:left w:type="dxa" w:w="150"/>
              <w:bottom w:type="dxa" w:w="80"/>
              <w:right w:type="dxa" w:w="150"/>
            </w:tcMar>
          </w:tcPr>
          <w:p>
            <w:pPr>
              <w:spacing w:line="312"/>
            </w:pPr>
            <w:r>
              <w:rPr>
                <w:rFonts w:ascii="Times New Roman"/>
                <w:sz w:val="21"/>
                <w:szCs w:val="21"/>
              </w:rPr>
              <w:t xml:space="preserve">0.9%</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Vertex Payroll</w:t>
            </w:r>
          </w:p>
        </w:tc>
        <w:tc>
          <w:tcPr>
            <w:shd w:fill="FFFFFF" w:val="clear"/>
            <w:tcMar>
              <w:top w:type="dxa" w:w="80"/>
              <w:left w:type="dxa" w:w="150"/>
              <w:bottom w:type="dxa" w:w="80"/>
              <w:right w:type="dxa" w:w="150"/>
            </w:tcMar>
          </w:tcPr>
          <w:p>
            <w:pPr>
              <w:spacing w:line="312"/>
            </w:pPr>
            <w:r>
              <w:rPr>
                <w:rFonts w:ascii="Times New Roman"/>
                <w:sz w:val="21"/>
                <w:szCs w:val="21"/>
              </w:rPr>
              <w:t xml:space="preserve">315</w:t>
            </w:r>
          </w:p>
        </w:tc>
        <w:tc>
          <w:tcPr>
            <w:shd w:fill="FFFFFF" w:val="clear"/>
            <w:tcMar>
              <w:top w:type="dxa" w:w="80"/>
              <w:left w:type="dxa" w:w="150"/>
              <w:bottom w:type="dxa" w:w="80"/>
              <w:right w:type="dxa" w:w="150"/>
            </w:tcMar>
          </w:tcPr>
          <w:p>
            <w:pPr>
              <w:spacing w:line="312"/>
            </w:pPr>
            <w:r>
              <w:rPr>
                <w:rFonts w:ascii="Times New Roman"/>
                <w:sz w:val="21"/>
                <w:szCs w:val="21"/>
              </w:rPr>
              <w:t xml:space="preserve">-7.2%</w:t>
            </w:r>
          </w:p>
        </w:tc>
      </w:tr>
      <w:tr>
        <w:trPr>
          <w:cantSplit/>
        </w:trPr>
        <w:tc>
          <w:tcPr>
            <w:shd w:fill="EADDF3" w:val="clear"/>
            <w:tcMar>
              <w:top w:type="dxa" w:w="80"/>
              <w:left w:type="dxa" w:w="150"/>
              <w:bottom w:type="dxa" w:w="80"/>
              <w:right w:type="dxa" w:w="150"/>
            </w:tcMar>
          </w:tcPr>
          <w:p>
            <w:pPr>
              <w:spacing w:line="312"/>
            </w:pPr>
            <w:r>
              <w:rPr>
                <w:rFonts w:ascii="Times New Roman"/>
                <w:sz w:val="21"/>
                <w:szCs w:val="21"/>
              </w:rPr>
              <w:t xml:space="preserve">Finance</w:t>
            </w:r>
          </w:p>
        </w:tc>
        <w:tc>
          <w:tcPr>
            <w:shd w:fill="EADDF3" w:val="clear"/>
            <w:tcMar>
              <w:top w:type="dxa" w:w="80"/>
              <w:left w:type="dxa" w:w="150"/>
              <w:bottom w:type="dxa" w:w="80"/>
              <w:right w:type="dxa" w:w="150"/>
            </w:tcMar>
          </w:tcPr>
          <w:p>
            <w:pPr>
              <w:spacing w:line="312"/>
            </w:pPr>
            <w:r>
              <w:rPr>
                <w:rFonts w:ascii="Times New Roman"/>
                <w:sz w:val="21"/>
                <w:szCs w:val="21"/>
              </w:rPr>
              <w:t xml:space="preserve">308</w:t>
            </w:r>
          </w:p>
        </w:tc>
        <w:tc>
          <w:tcPr>
            <w:shd w:fill="EADDF3" w:val="clear"/>
            <w:tcMar>
              <w:top w:type="dxa" w:w="80"/>
              <w:left w:type="dxa" w:w="150"/>
              <w:bottom w:type="dxa" w:w="80"/>
              <w:right w:type="dxa" w:w="150"/>
            </w:tcMar>
          </w:tcPr>
          <w:p>
            <w:pPr>
              <w:spacing w:line="312"/>
            </w:pPr>
            <w:r>
              <w:rPr>
                <w:rFonts w:ascii="Times New Roman"/>
                <w:sz w:val="21"/>
                <w:szCs w:val="21"/>
              </w:rPr>
              <w:t xml:space="preserve">3.0%</w:t>
            </w:r>
          </w:p>
        </w:tc>
      </w:tr>
      <w:tr>
        <w:trPr>
          <w:cantSplit/>
        </w:trPr>
        <w:tc>
          <w:tcPr>
            <w:shd w:fill="FFFFFF" w:val="clear"/>
            <w:tcMar>
              <w:top w:type="dxa" w:w="80"/>
              <w:left w:type="dxa" w:w="150"/>
              <w:bottom w:type="dxa" w:w="80"/>
              <w:right w:type="dxa" w:w="150"/>
            </w:tcMar>
          </w:tcPr>
          <w:p>
            <w:pPr>
              <w:spacing w:line="312"/>
            </w:pPr>
            <w:r>
              <w:rPr>
                <w:rFonts w:ascii="Times New Roman"/>
                <w:sz w:val="21"/>
                <w:szCs w:val="21"/>
              </w:rPr>
              <w:t xml:space="preserve">Finance</w:t>
            </w:r>
          </w:p>
        </w:tc>
        <w:tc>
          <w:tcPr>
            <w:shd w:fill="FFFFFF" w:val="clear"/>
            <w:tcMar>
              <w:top w:type="dxa" w:w="80"/>
              <w:left w:type="dxa" w:w="150"/>
              <w:bottom w:type="dxa" w:w="80"/>
              <w:right w:type="dxa" w:w="150"/>
            </w:tcMar>
          </w:tcPr>
          <w:p>
            <w:pPr>
              <w:spacing w:line="312"/>
            </w:pPr>
            <w:r>
              <w:rPr>
                <w:rFonts w:ascii="Times New Roman"/>
                <w:sz w:val="21"/>
                <w:szCs w:val="21"/>
              </w:rPr>
              <w:t xml:space="preserve">509</w:t>
            </w:r>
          </w:p>
        </w:tc>
        <w:tc>
          <w:tcPr>
            <w:shd w:fill="FFFFFF" w:val="clear"/>
            <w:tcMar>
              <w:top w:type="dxa" w:w="80"/>
              <w:left w:type="dxa" w:w="150"/>
              <w:bottom w:type="dxa" w:w="80"/>
              <w:right w:type="dxa" w:w="150"/>
            </w:tcMar>
          </w:tcPr>
          <w:p>
            <w:pPr>
              <w:spacing w:line="312"/>
            </w:pPr>
            <w:r>
              <w:rPr>
                <w:rFonts w:ascii="Times New Roman"/>
                <w:sz w:val="21"/>
                <w:szCs w:val="21"/>
              </w:rPr>
              <w:t xml:space="preserve">17.5%</w:t>
            </w:r>
          </w:p>
        </w:tc>
      </w:tr>
    </w:tbl>
    <w:p>
      <w:pPr>
        <w:pStyle w:val="Heading1"/>
        <w:spacing w:after="120" w:before="240" w:line="312"/>
      </w:pPr>
      <w:r>
        <w:rPr>
          <w:rFonts w:ascii="Arial"/>
          <w:b/>
          <w:bCs/>
          <w:color w:val="5B2C6F"/>
          <w:sz w:val="30"/>
          <w:szCs w:val="30"/>
        </w:rPr>
        <w:t xml:space="preserve">Key Project Updates</w:t>
      </w:r>
    </w:p>
    <w:p>
      <w:pPr>
        <w:spacing w:line="312"/>
        <w:jc w:val="both"/>
      </w:pPr>
      <w:r>
        <w:rPr>
          <w:rFonts w:ascii="Times New Roman"/>
          <w:color w:val="333333"/>
          <w:sz w:val="24"/>
          <w:szCs w:val="24"/>
        </w:rPr>
        <w:t xml:space="preserve">We recommend expanding channel investment and rebalancing resourcing to sustain growth. Revenue concentration in the main product line increased and retention improved. Cost pressure and regional competition remain the principal risks to monitor.</w:t>
      </w:r>
    </w:p>
    <w:p>
      <w:pPr>
        <w:pStyle w:val="Heading1"/>
        <w:spacing w:after="120" w:before="240" w:line="312"/>
      </w:pPr>
      <w:r>
        <w:rPr>
          <w:rFonts w:ascii="Arial"/>
          <w:b/>
          <w:bCs/>
          <w:color w:val="5B2C6F"/>
          <w:sz w:val="30"/>
          <w:szCs w:val="30"/>
        </w:rPr>
        <w:t xml:space="preserve">Next-Step Plan</w:t>
      </w:r>
    </w:p>
    <w:p>
      <w:pPr>
        <w:spacing w:line="312"/>
        <w:jc w:val="both"/>
      </w:pPr>
      <w:r>
        <w:rPr>
          <w:rFonts w:ascii="Times New Roman"/>
          <w:color w:val="333333"/>
          <w:sz w:val="24"/>
          <w:szCs w:val="24"/>
        </w:rPr>
        <w:t xml:space="preserve">Cost pressure and regional competition remain the principal risks to monitor. Cross-team efficiency rose and delivery lead times shortened versus last quarter. Revenue concentration in the main product line increased and retention improved.</w:t>
      </w:r>
    </w:p>
    <w:sectPr>
      <w:pgSz w:w="11906" w:h="16838" w:orient="portrait"/>
      <w:pgMar w:top="1440" w:right="1800" w:bottom="1440" w:left="1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2026-10-08T13:33:01.521Z</dcterms:created>
  <dcterms:modified xsi:type="dcterms:W3CDTF">2026-10-08T13:33:01.521Z</dcterms:modified>
</cp:coreProperties>
</file>

<file path=docProps/custom.xml><?xml version="1.0" encoding="utf-8"?>
<Properties xmlns="http://schemas.openxmlformats.org/officeDocument/2006/custom-properties" xmlns:vt="http://schemas.openxmlformats.org/officeDocument/2006/docPropsVTypes"/>
</file>