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1F4E79"/>
          <w:sz w:val="30"/>
          <w:szCs w:val="30"/>
        </w:rPr>
        <w:t xml:space="preserve">Performance Analysis</w:t>
      </w:r>
    </w:p>
    <w:p>
      <w:pPr>
        <w:spacing w:line="312"/>
        <w:jc w:val="both"/>
      </w:pPr>
      <w:r>
        <w:rPr>
          <w:rFonts w:ascii="Times New Roman"/>
          <w:color w:val="333333"/>
          <w:sz w:val="24"/>
          <w:szCs w:val="24"/>
        </w:rPr>
        <w:t xml:space="preserve">Revenue concentration in the main product line increased and retention improved. We recommend expanding channel investment and rebalancing resourcing to sustain growth. Cross-team efficiency rose and delivery lead times shortened versus last quarter.</w:t>
      </w:r>
    </w:p>
    <w:p>
      <w:pPr>
        <w:pStyle w:val="Heading1"/>
        <w:spacing w:after="120" w:before="240" w:line="312"/>
      </w:pPr>
      <w:r>
        <w:rPr>
          <w:rFonts w:ascii="Arial"/>
          <w:b/>
          <w:bCs/>
          <w:color w:val="1F4E79"/>
          <w:sz w:val="30"/>
          <w:szCs w:val="30"/>
        </w:rPr>
        <w:t xml:space="preserve">Summary and Recommendations</w:t>
      </w:r>
    </w:p>
    <w:p>
      <w:pPr>
        <w:spacing w:line="312"/>
        <w:jc w:val="both"/>
      </w:pPr>
      <w:r>
        <w:rPr>
          <w:rFonts w:ascii="Times New Roman"/>
          <w:color w:val="333333"/>
          <w:sz w:val="24"/>
          <w:szCs w:val="24"/>
        </w:rPr>
        <w:t xml:space="preserve">Cross-team efficiency rose and delivery lead times shortened versus last quarter. Cost pressure and regional competition remain the principal risks to monitor. We recommend expanding channel investment and rebalancing resourcing to sustain growth.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1F4E79"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1F4E79"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1F4E79"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Nimbus Storage</w:t>
            </w:r>
          </w:p>
        </w:tc>
        <w:tc>
          <w:tcPr>
            <w:shd w:fill="FFFFFF" w:val="clear"/>
            <w:tcMar>
              <w:top w:type="dxa" w:w="80"/>
              <w:left w:type="dxa" w:w="150"/>
              <w:bottom w:type="dxa" w:w="80"/>
              <w:right w:type="dxa" w:w="150"/>
            </w:tcMar>
          </w:tcPr>
          <w:p>
            <w:pPr>
              <w:spacing w:line="312"/>
            </w:pPr>
            <w:r>
              <w:rPr>
                <w:rFonts w:ascii="Times New Roman"/>
                <w:sz w:val="21"/>
                <w:szCs w:val="21"/>
              </w:rPr>
              <w:t xml:space="preserve">214</w:t>
            </w:r>
          </w:p>
        </w:tc>
        <w:tc>
          <w:tcPr>
            <w:shd w:fill="FFFFFF" w:val="clear"/>
            <w:tcMar>
              <w:top w:type="dxa" w:w="80"/>
              <w:left w:type="dxa" w:w="150"/>
              <w:bottom w:type="dxa" w:w="80"/>
              <w:right w:type="dxa" w:w="150"/>
            </w:tcMar>
          </w:tcPr>
          <w:p>
            <w:pPr>
              <w:spacing w:line="312"/>
            </w:pPr>
            <w:r>
              <w:rPr>
                <w:rFonts w:ascii="Times New Roman"/>
                <w:sz w:val="21"/>
                <w:szCs w:val="21"/>
              </w:rPr>
              <w:t xml:space="preserve">-8.1%</w:t>
            </w:r>
          </w:p>
        </w:tc>
      </w:tr>
      <w:tr>
        <w:trPr>
          <w:cantSplit/>
        </w:trPr>
        <w:tc>
          <w:tcPr>
            <w:shd w:fill="D6E4F0" w:val="clear"/>
            <w:tcMar>
              <w:top w:type="dxa" w:w="80"/>
              <w:left w:type="dxa" w:w="150"/>
              <w:bottom w:type="dxa" w:w="80"/>
              <w:right w:type="dxa" w:w="150"/>
            </w:tcMar>
          </w:tcPr>
          <w:p>
            <w:pPr>
              <w:spacing w:line="312"/>
            </w:pPr>
            <w:r>
              <w:rPr>
                <w:rFonts w:ascii="Times New Roman"/>
                <w:sz w:val="21"/>
                <w:szCs w:val="21"/>
              </w:rPr>
              <w:t xml:space="preserve">Sales</w:t>
            </w:r>
          </w:p>
        </w:tc>
        <w:tc>
          <w:tcPr>
            <w:shd w:fill="D6E4F0" w:val="clear"/>
            <w:tcMar>
              <w:top w:type="dxa" w:w="80"/>
              <w:left w:type="dxa" w:w="150"/>
              <w:bottom w:type="dxa" w:w="80"/>
              <w:right w:type="dxa" w:w="150"/>
            </w:tcMar>
          </w:tcPr>
          <w:p>
            <w:pPr>
              <w:spacing w:line="312"/>
            </w:pPr>
            <w:r>
              <w:rPr>
                <w:rFonts w:ascii="Times New Roman"/>
                <w:sz w:val="21"/>
                <w:szCs w:val="21"/>
              </w:rPr>
              <w:t xml:space="preserve">663</w:t>
            </w:r>
          </w:p>
        </w:tc>
        <w:tc>
          <w:tcPr>
            <w:shd w:fill="D6E4F0" w:val="clear"/>
            <w:tcMar>
              <w:top w:type="dxa" w:w="80"/>
              <w:left w:type="dxa" w:w="150"/>
              <w:bottom w:type="dxa" w:w="80"/>
              <w:right w:type="dxa" w:w="150"/>
            </w:tcMar>
          </w:tcPr>
          <w:p>
            <w:pPr>
              <w:spacing w:line="312"/>
            </w:pPr>
            <w:r>
              <w:rPr>
                <w:rFonts w:ascii="Times New Roman"/>
                <w:sz w:val="21"/>
                <w:szCs w:val="21"/>
              </w:rPr>
              <w:t xml:space="preserve">36.4%</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Finance</w:t>
            </w:r>
          </w:p>
        </w:tc>
        <w:tc>
          <w:tcPr>
            <w:shd w:fill="FFFFFF" w:val="clear"/>
            <w:tcMar>
              <w:top w:type="dxa" w:w="80"/>
              <w:left w:type="dxa" w:w="150"/>
              <w:bottom w:type="dxa" w:w="80"/>
              <w:right w:type="dxa" w:w="150"/>
            </w:tcMar>
          </w:tcPr>
          <w:p>
            <w:pPr>
              <w:spacing w:line="312"/>
            </w:pPr>
            <w:r>
              <w:rPr>
                <w:rFonts w:ascii="Times New Roman"/>
                <w:sz w:val="21"/>
                <w:szCs w:val="21"/>
              </w:rPr>
              <w:t xml:space="preserve">394</w:t>
            </w:r>
          </w:p>
        </w:tc>
        <w:tc>
          <w:tcPr>
            <w:shd w:fill="FFFFFF" w:val="clear"/>
            <w:tcMar>
              <w:top w:type="dxa" w:w="80"/>
              <w:left w:type="dxa" w:w="150"/>
              <w:bottom w:type="dxa" w:w="80"/>
              <w:right w:type="dxa" w:w="150"/>
            </w:tcMar>
          </w:tcPr>
          <w:p>
            <w:pPr>
              <w:spacing w:line="312"/>
            </w:pPr>
            <w:r>
              <w:rPr>
                <w:rFonts w:ascii="Times New Roman"/>
                <w:sz w:val="21"/>
                <w:szCs w:val="21"/>
              </w:rPr>
              <w:t xml:space="preserve">-2.9%</w:t>
            </w:r>
          </w:p>
        </w:tc>
      </w:tr>
      <w:tr>
        <w:trPr>
          <w:cantSplit/>
        </w:trPr>
        <w:tc>
          <w:tcPr>
            <w:shd w:fill="D6E4F0" w:val="clear"/>
            <w:tcMar>
              <w:top w:type="dxa" w:w="80"/>
              <w:left w:type="dxa" w:w="150"/>
              <w:bottom w:type="dxa" w:w="80"/>
              <w:right w:type="dxa" w:w="150"/>
            </w:tcMar>
          </w:tcPr>
          <w:p>
            <w:pPr>
              <w:spacing w:line="312"/>
            </w:pPr>
            <w:r>
              <w:rPr>
                <w:rFonts w:ascii="Times New Roman"/>
                <w:sz w:val="21"/>
                <w:szCs w:val="21"/>
              </w:rPr>
              <w:t xml:space="preserve">Finance</w:t>
            </w:r>
          </w:p>
        </w:tc>
        <w:tc>
          <w:tcPr>
            <w:shd w:fill="D6E4F0" w:val="clear"/>
            <w:tcMar>
              <w:top w:type="dxa" w:w="80"/>
              <w:left w:type="dxa" w:w="150"/>
              <w:bottom w:type="dxa" w:w="80"/>
              <w:right w:type="dxa" w:w="150"/>
            </w:tcMar>
          </w:tcPr>
          <w:p>
            <w:pPr>
              <w:spacing w:line="312"/>
            </w:pPr>
            <w:r>
              <w:rPr>
                <w:rFonts w:ascii="Times New Roman"/>
                <w:sz w:val="21"/>
                <w:szCs w:val="21"/>
              </w:rPr>
              <w:t xml:space="preserve">572</w:t>
            </w:r>
          </w:p>
        </w:tc>
        <w:tc>
          <w:tcPr>
            <w:shd w:fill="D6E4F0" w:val="clear"/>
            <w:tcMar>
              <w:top w:type="dxa" w:w="80"/>
              <w:left w:type="dxa" w:w="150"/>
              <w:bottom w:type="dxa" w:w="80"/>
              <w:right w:type="dxa" w:w="150"/>
            </w:tcMar>
          </w:tcPr>
          <w:p>
            <w:pPr>
              <w:spacing w:line="312"/>
            </w:pPr>
            <w:r>
              <w:rPr>
                <w:rFonts w:ascii="Times New Roman"/>
                <w:sz w:val="21"/>
                <w:szCs w:val="21"/>
              </w:rPr>
              <w:t xml:space="preserve">16.6%</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People Ops</w:t>
            </w:r>
          </w:p>
        </w:tc>
        <w:tc>
          <w:tcPr>
            <w:shd w:fill="FFFFFF" w:val="clear"/>
            <w:tcMar>
              <w:top w:type="dxa" w:w="80"/>
              <w:left w:type="dxa" w:w="150"/>
              <w:bottom w:type="dxa" w:w="80"/>
              <w:right w:type="dxa" w:w="150"/>
            </w:tcMar>
          </w:tcPr>
          <w:p>
            <w:pPr>
              <w:spacing w:line="312"/>
            </w:pPr>
            <w:r>
              <w:rPr>
                <w:rFonts w:ascii="Times New Roman"/>
                <w:sz w:val="21"/>
                <w:szCs w:val="21"/>
              </w:rPr>
              <w:t xml:space="preserve">156</w:t>
            </w:r>
          </w:p>
        </w:tc>
        <w:tc>
          <w:tcPr>
            <w:shd w:fill="FFFFFF" w:val="clear"/>
            <w:tcMar>
              <w:top w:type="dxa" w:w="80"/>
              <w:left w:type="dxa" w:w="150"/>
              <w:bottom w:type="dxa" w:w="80"/>
              <w:right w:type="dxa" w:w="150"/>
            </w:tcMar>
          </w:tcPr>
          <w:p>
            <w:pPr>
              <w:spacing w:line="312"/>
            </w:pPr>
            <w:r>
              <w:rPr>
                <w:rFonts w:ascii="Times New Roman"/>
                <w:sz w:val="21"/>
                <w:szCs w:val="21"/>
              </w:rPr>
              <w:t xml:space="preserve">28.7%</w:t>
            </w:r>
          </w:p>
        </w:tc>
      </w:tr>
    </w:tbl>
    <w:p>
      <w:pPr>
        <w:pStyle w:val="Heading1"/>
        <w:spacing w:after="120" w:before="240" w:line="312"/>
      </w:pPr>
      <w:r>
        <w:rPr>
          <w:rFonts w:ascii="Arial"/>
          <w:b/>
          <w:bCs/>
          <w:color w:val="1F4E79"/>
          <w:sz w:val="30"/>
          <w:szCs w:val="30"/>
        </w:rPr>
        <w:t xml:space="preserve">Key Project Updates</w:t>
      </w:r>
    </w:p>
    <w:p>
      <w:pPr>
        <w:spacing w:line="312"/>
        <w:jc w:val="both"/>
      </w:pPr>
      <w:r>
        <w:rPr>
          <w:rFonts w:ascii="Times New Roman"/>
          <w:color w:val="333333"/>
          <w:sz w:val="24"/>
          <w:szCs w:val="24"/>
        </w:rPr>
        <w:t xml:space="preserve">We recommend expanding channel investment and rebalancing resourcing to sustain growth. The business delivered steady growth this quarter, with core KPIs on target. Revenue concentration in the main product line increased and retention improved.</w:t>
      </w:r>
    </w:p>
    <w:p>
      <w:pPr>
        <w:pStyle w:val="Heading1"/>
        <w:spacing w:after="120" w:before="240" w:line="312"/>
      </w:pPr>
      <w:r>
        <w:rPr>
          <w:rFonts w:ascii="Arial"/>
          <w:b/>
          <w:bCs/>
          <w:color w:val="1F4E79"/>
          <w:sz w:val="30"/>
          <w:szCs w:val="30"/>
        </w:rPr>
        <w:t xml:space="preserve">Next-Step Plan</w:t>
      </w:r>
    </w:p>
    <w:p>
      <w:pPr>
        <w:spacing w:line="312"/>
        <w:jc w:val="both"/>
      </w:pPr>
      <w:r>
        <w:rPr>
          <w:rFonts w:ascii="Times New Roman"/>
          <w:color w:val="333333"/>
          <w:sz w:val="24"/>
          <w:szCs w:val="24"/>
        </w:rPr>
        <w:t xml:space="preserve">Cost pressure and regional competition remain the principal risks to monitor. The business delivered steady growth this quarter, with core KPIs on target. Revenue concentration in the main product line increased and retention improved.</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2026-10-08T13:33:05.356Z</dcterms:created>
  <dcterms:modified xsi:type="dcterms:W3CDTF">2026-10-08T13:33:05.357Z</dcterms:modified>
</cp:coreProperties>
</file>

<file path=docProps/custom.xml><?xml version="1.0" encoding="utf-8"?>
<Properties xmlns="http://schemas.openxmlformats.org/officeDocument/2006/custom-properties" xmlns:vt="http://schemas.openxmlformats.org/officeDocument/2006/docPropsVTypes"/>
</file>