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312" w:lineRule="auto"/>
      </w:pPr>
      <w:r>
        <w:rPr>
          <w:b/>
        </w:rPr>
        <w:t>Department Quarterly Summary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-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f</w:t>
      </w:r>
    </w:p>
    <w:p>
      <w:pPr>
        <w:spacing w:line="312" w:lineRule="auto"/>
      </w:pPr>
      <w:r>
        <w:t>f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y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v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y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v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q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.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b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v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>y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g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w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q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,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w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K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g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.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v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h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>u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l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c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s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a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>t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n</w:t>
      </w:r>
    </w:p>
    <w:p>
      <w:pPr>
        <w:spacing w:line="312" w:lineRule="auto"/>
      </w:pPr>
      <w:r>
        <w:t xml:space="preserve"> </w:t>
      </w:r>
    </w:p>
    <w:p>
      <w:pPr>
        <w:spacing w:line="312" w:lineRule="auto"/>
      </w:pPr>
      <w:r>
        <w:t>i</w:t>
      </w:r>
    </w:p>
    <w:p>
      <w:pPr>
        <w:spacing w:line="312" w:lineRule="auto"/>
      </w:pPr>
      <w:r>
        <w:t>m</w:t>
      </w:r>
    </w:p>
    <w:p>
      <w:pPr>
        <w:spacing w:line="312" w:lineRule="auto"/>
      </w:pPr>
      <w:r>
        <w:t>p</w:t>
      </w:r>
    </w:p>
    <w:p>
      <w:pPr>
        <w:spacing w:line="312" w:lineRule="auto"/>
      </w:pPr>
      <w:r>
        <w:t>r</w:t>
      </w:r>
    </w:p>
    <w:p>
      <w:pPr>
        <w:spacing w:line="312" w:lineRule="auto"/>
      </w:pPr>
      <w:r>
        <w:t>o</w:t>
      </w:r>
    </w:p>
    <w:p>
      <w:pPr>
        <w:spacing w:line="312" w:lineRule="auto"/>
      </w:pPr>
      <w:r>
        <w:t>v</w:t>
      </w:r>
    </w:p>
    <w:p>
      <w:pPr>
        <w:spacing w:line="312" w:lineRule="auto"/>
      </w:pPr>
      <w:r>
        <w:t>e</w:t>
      </w:r>
    </w:p>
    <w:p>
      <w:pPr>
        <w:spacing w:line="312" w:lineRule="auto"/>
      </w:pPr>
      <w:r>
        <w:t>d</w:t>
      </w:r>
    </w:p>
    <w:p>
      <w:pPr>
        <w:spacing w:line="312" w:lineRule="auto"/>
      </w:pPr>
      <w:r>
        <w:t>.</w:t>
      </w:r>
    </w:p>
    <w:p>
      <w:pPr>
        <w:pStyle w:val="Heading2"/>
        <w:spacing w:line="312" w:lineRule="auto"/>
      </w:pPr>
      <w:r>
        <w:rPr>
          <w:b/>
        </w:rPr>
        <w:t>Data Analysis</w:t>
      </w:r>
    </w:p>
    <w:p>
      <w:pPr>
        <w:spacing w:line="312" w:lineRule="auto"/>
      </w:pPr>
      <w:r>
        <w:t>Cost pressure and regional competition remain the principal risks to monitor. Revenue concentration in the main product line increased and retention improved. Cross-team efficiency rose and delivery lead times shortened versus last quarter.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</w:tr>
      <w:tr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</w:tr>
      <w:tr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  <w:tc>
          <w:tcPr>
            <w:tcW w:type="dxa" w:w="2880"/>
          </w:tcPr>
          <w:p>
            <w:pPr>
              <w:spacing w:line="312" w:lineRule="auto"/>
            </w:pP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