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Performance Analysis</w:t>
      </w:r>
    </w:p>
    <w:p>
      <w:pPr>
        <w:spacing w:line="312"/>
        <w:jc w:val="both"/>
      </w:pPr>
      <w:r>
        <w:rPr>
          <w:rFonts w:ascii="Times New Roman"/>
          <w:color w:val="333333"/>
          <w:sz w:val="24"/>
          <w:szCs w:val="24"/>
        </w:rPr>
        <w:t xml:space="preserve">The business delivered steady growth this quarter, with core KPIs on target. We recommend expanding channel investment and rebalancing resourcing to sustain growth. Cost pressure and regional competition remain the principal risks to monitor.</w:t>
      </w:r>
    </w:p>
    <w:p>
      <w:pPr>
        <w:pStyle w:val="Heading1"/>
        <w:spacing w:after="120" w:before="240" w:line="312"/>
      </w:pPr>
      <w:r>
        <w:rPr>
          <w:rFonts w:ascii="Arial"/>
          <w:b/>
          <w:bCs/>
          <w:color w:val="7B3B00"/>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Revenue concentration in the main product line increased and retention improved. We recommend expanding channel investment and rebalancing resourcing to sustain growth.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883</w:t>
            </w:r>
          </w:p>
        </w:tc>
        <w:tc>
          <w:tcPr>
            <w:shd w:fill="FFFFFF" w:val="clear"/>
            <w:tcMar>
              <w:top w:type="dxa" w:w="80"/>
              <w:left w:type="dxa" w:w="150"/>
              <w:bottom w:type="dxa" w:w="80"/>
              <w:right w:type="dxa" w:w="150"/>
            </w:tcMar>
          </w:tcPr>
          <w:p>
            <w:pPr>
              <w:spacing w:line="312"/>
            </w:pPr>
            <w:r>
              <w:rPr>
                <w:rFonts w:ascii="Times New Roman"/>
                <w:sz w:val="21"/>
                <w:szCs w:val="21"/>
              </w:rPr>
              <w:t xml:space="preserve">18.4%</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Finance</w:t>
            </w:r>
          </w:p>
        </w:tc>
        <w:tc>
          <w:tcPr>
            <w:shd w:fill="F5E6D3" w:val="clear"/>
            <w:tcMar>
              <w:top w:type="dxa" w:w="80"/>
              <w:left w:type="dxa" w:w="150"/>
              <w:bottom w:type="dxa" w:w="80"/>
              <w:right w:type="dxa" w:w="150"/>
            </w:tcMar>
          </w:tcPr>
          <w:p>
            <w:pPr>
              <w:spacing w:line="312"/>
            </w:pPr>
            <w:r>
              <w:rPr>
                <w:rFonts w:ascii="Times New Roman"/>
                <w:sz w:val="21"/>
                <w:szCs w:val="21"/>
              </w:rPr>
              <w:t xml:space="preserve">443</w:t>
            </w:r>
          </w:p>
        </w:tc>
        <w:tc>
          <w:tcPr>
            <w:shd w:fill="F5E6D3" w:val="clear"/>
            <w:tcMar>
              <w:top w:type="dxa" w:w="80"/>
              <w:left w:type="dxa" w:w="150"/>
              <w:bottom w:type="dxa" w:w="80"/>
              <w:right w:type="dxa" w:w="150"/>
            </w:tcMar>
          </w:tcPr>
          <w:p>
            <w:pPr>
              <w:spacing w:line="312"/>
            </w:pPr>
            <w:r>
              <w:rPr>
                <w:rFonts w:ascii="Times New Roman"/>
                <w:sz w:val="21"/>
                <w:szCs w:val="21"/>
              </w:rPr>
              <w:t xml:space="preserve">17.2%</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545</w:t>
            </w:r>
          </w:p>
        </w:tc>
        <w:tc>
          <w:tcPr>
            <w:shd w:fill="FFFFFF" w:val="clear"/>
            <w:tcMar>
              <w:top w:type="dxa" w:w="80"/>
              <w:left w:type="dxa" w:w="150"/>
              <w:bottom w:type="dxa" w:w="80"/>
              <w:right w:type="dxa" w:w="150"/>
            </w:tcMar>
          </w:tcPr>
          <w:p>
            <w:pPr>
              <w:spacing w:line="312"/>
            </w:pPr>
            <w:r>
              <w:rPr>
                <w:rFonts w:ascii="Times New Roman"/>
                <w:sz w:val="21"/>
                <w:szCs w:val="21"/>
              </w:rPr>
              <w:t xml:space="preserve">23.4%</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5E6D3" w:val="clear"/>
            <w:tcMar>
              <w:top w:type="dxa" w:w="80"/>
              <w:left w:type="dxa" w:w="150"/>
              <w:bottom w:type="dxa" w:w="80"/>
              <w:right w:type="dxa" w:w="150"/>
            </w:tcMar>
          </w:tcPr>
          <w:p>
            <w:pPr>
              <w:spacing w:line="312"/>
            </w:pPr>
            <w:r>
              <w:rPr>
                <w:rFonts w:ascii="Times New Roman"/>
                <w:sz w:val="21"/>
                <w:szCs w:val="21"/>
              </w:rPr>
              <w:t xml:space="preserve">912</w:t>
            </w:r>
          </w:p>
        </w:tc>
        <w:tc>
          <w:tcPr>
            <w:shd w:fill="F5E6D3" w:val="clear"/>
            <w:tcMar>
              <w:top w:type="dxa" w:w="80"/>
              <w:left w:type="dxa" w:w="150"/>
              <w:bottom w:type="dxa" w:w="80"/>
              <w:right w:type="dxa" w:w="150"/>
            </w:tcMar>
          </w:tcPr>
          <w:p>
            <w:pPr>
              <w:spacing w:line="312"/>
            </w:pPr>
            <w:r>
              <w:rPr>
                <w:rFonts w:ascii="Times New Roman"/>
                <w:sz w:val="21"/>
                <w:szCs w:val="21"/>
              </w:rPr>
              <w:t xml:space="preserve">9.0%</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Orbit CRM</w:t>
            </w:r>
          </w:p>
        </w:tc>
        <w:tc>
          <w:tcPr>
            <w:shd w:fill="FFFFFF" w:val="clear"/>
            <w:tcMar>
              <w:top w:type="dxa" w:w="80"/>
              <w:left w:type="dxa" w:w="150"/>
              <w:bottom w:type="dxa" w:w="80"/>
              <w:right w:type="dxa" w:w="150"/>
            </w:tcMar>
          </w:tcPr>
          <w:p>
            <w:pPr>
              <w:spacing w:line="312"/>
            </w:pPr>
            <w:r>
              <w:rPr>
                <w:rFonts w:ascii="Times New Roman"/>
                <w:sz w:val="21"/>
                <w:szCs w:val="21"/>
              </w:rPr>
              <w:t xml:space="preserve">161</w:t>
            </w:r>
          </w:p>
        </w:tc>
        <w:tc>
          <w:tcPr>
            <w:shd w:fill="FFFFFF" w:val="clear"/>
            <w:tcMar>
              <w:top w:type="dxa" w:w="80"/>
              <w:left w:type="dxa" w:w="150"/>
              <w:bottom w:type="dxa" w:w="80"/>
              <w:right w:type="dxa" w:w="150"/>
            </w:tcMar>
          </w:tcPr>
          <w:p>
            <w:pPr>
              <w:spacing w:line="312"/>
            </w:pPr>
            <w:r>
              <w:rPr>
                <w:rFonts w:ascii="Times New Roman"/>
                <w:sz w:val="21"/>
                <w:szCs w:val="21"/>
              </w:rPr>
              <w:t xml:space="preserve">27.6%</w:t>
            </w:r>
          </w:p>
        </w:tc>
      </w:tr>
    </w:tbl>
    <w:p>
      <w:pPr>
        <w:pStyle w:val="Heading1"/>
        <w:spacing w:after="120" w:before="240" w:line="312"/>
      </w:pPr>
      <w:r>
        <w:rPr>
          <w:rFonts w:ascii="Arial"/>
          <w:b/>
          <w:bCs/>
          <w:color w:val="7B3B00"/>
          <w:sz w:val="30"/>
          <w:szCs w:val="30"/>
        </w:rPr>
        <w:t xml:space="preserve">Risks and Challenges</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Revenue concentration in the main product line increased and retention improved.</w:t>
      </w:r>
    </w:p>
    <w:p>
      <w:pPr>
        <w:pStyle w:val="Heading1"/>
        <w:spacing w:after="120" w:before="240" w:line="312"/>
      </w:pPr>
      <w:r>
        <w:rPr>
          <w:rFonts w:ascii="Arial"/>
          <w:b/>
          <w:bCs/>
          <w:color w:val="7B3B00"/>
          <w:sz w:val="30"/>
          <w:szCs w:val="30"/>
        </w:rPr>
        <w:t xml:space="preserve">Executive Overview</w:t>
      </w:r>
    </w:p>
    <w:p>
      <w:pPr>
        <w:spacing w:line="312"/>
        <w:jc w:val="both"/>
      </w:pPr>
      <w:r>
        <w:rPr>
          <w:rFonts w:ascii="Times New Roman"/>
          <w:color w:val="333333"/>
          <w:sz w:val="24"/>
          <w:szCs w:val="24"/>
        </w:rPr>
        <w:t xml:space="preserve">The business delivered steady growth this quarter, with core KPIs on target. Cross-team efficiency rose and delivery lead times shortened versus last quarter. Cost pressure and regional competition remain the principal risks to monitor.</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2026-10-08T13:33:09.379Z</dcterms:created>
  <dcterms:modified xsi:type="dcterms:W3CDTF">2026-10-08T13:33:09.380Z</dcterms:modified>
</cp:coreProperties>
</file>

<file path=docProps/custom.xml><?xml version="1.0" encoding="utf-8"?>
<Properties xmlns="http://schemas.openxmlformats.org/officeDocument/2006/custom-properties" xmlns:vt="http://schemas.openxmlformats.org/officeDocument/2006/docPropsVTypes"/>
</file>