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We recommend expanding channel investment and rebalancing resourcing to sustain growth. Cross-team efficiency rose and delivery lead times shortened versus last quarter. The business delivered steady growth this quarter, with core KPIs on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