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,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The business delivered steady growth this quarter, with core KPIs on target. Cross-team efficiency rose and delivery lead times shortened versus last quarter. Cost pressure and regional competition remain the principal risks to monitor.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