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1F4E79"/>
          <w:sz w:val="30"/>
          <w:szCs w:val="30"/>
        </w:rPr>
        <w:t xml:space="preserve">Performance Analysis</w:t>
      </w:r>
    </w:p>
    <w:p>
      <w:pPr>
        <w:spacing w:line="312"/>
        <w:jc w:val="both"/>
      </w:pPr>
      <w:r>
        <w:rPr>
          <w:rFonts w:ascii="Times New Roman"/>
          <w:color w:val="333333"/>
          <w:sz w:val="24"/>
          <w:szCs w:val="24"/>
        </w:rPr>
        <w:t xml:space="preserve">We recommend expanding channel investment and rebalancing resourcing to sustain growth. Cross-team efficiency rose and delivery lead times shortened versus last quarter. Revenue concentration in the main product line increased and retention improved.</w:t>
      </w:r>
    </w:p>
    <w:p>
      <w:pPr>
        <w:pStyle w:val="Heading1"/>
        <w:spacing w:after="120" w:before="240" w:line="312"/>
      </w:pPr>
      <w:r>
        <w:rPr>
          <w:rFonts w:ascii="Arial"/>
          <w:b/>
          <w:bCs/>
          <w:color w:val="1F4E79"/>
          <w:sz w:val="30"/>
          <w:szCs w:val="30"/>
        </w:rPr>
        <w:t xml:space="preserve">Risks and Challenges</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Revenue concentration in the main product line increased and retention improved.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1F4E79"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Orbit CRM</w:t>
            </w:r>
          </w:p>
        </w:tc>
        <w:tc>
          <w:tcPr>
            <w:shd w:fill="FFFFFF" w:val="clear"/>
            <w:tcMar>
              <w:top w:type="dxa" w:w="80"/>
              <w:left w:type="dxa" w:w="150"/>
              <w:bottom w:type="dxa" w:w="80"/>
              <w:right w:type="dxa" w:w="150"/>
            </w:tcMar>
          </w:tcPr>
          <w:p>
            <w:pPr>
              <w:spacing w:line="312"/>
            </w:pPr>
            <w:r>
              <w:rPr>
                <w:rFonts w:ascii="Times New Roman"/>
                <w:sz w:val="21"/>
                <w:szCs w:val="21"/>
              </w:rPr>
              <w:t xml:space="preserve">796</w:t>
            </w:r>
          </w:p>
        </w:tc>
        <w:tc>
          <w:tcPr>
            <w:shd w:fill="FFFFFF" w:val="clear"/>
            <w:tcMar>
              <w:top w:type="dxa" w:w="80"/>
              <w:left w:type="dxa" w:w="150"/>
              <w:bottom w:type="dxa" w:w="80"/>
              <w:right w:type="dxa" w:w="150"/>
            </w:tcMar>
          </w:tcPr>
          <w:p>
            <w:pPr>
              <w:spacing w:line="312"/>
            </w:pPr>
            <w:r>
              <w:rPr>
                <w:rFonts w:ascii="Times New Roman"/>
                <w:sz w:val="21"/>
                <w:szCs w:val="21"/>
              </w:rPr>
              <w:t xml:space="preserve">2.7%</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Engineering</w:t>
            </w:r>
          </w:p>
        </w:tc>
        <w:tc>
          <w:tcPr>
            <w:shd w:fill="D6E4F0" w:val="clear"/>
            <w:tcMar>
              <w:top w:type="dxa" w:w="80"/>
              <w:left w:type="dxa" w:w="150"/>
              <w:bottom w:type="dxa" w:w="80"/>
              <w:right w:type="dxa" w:w="150"/>
            </w:tcMar>
          </w:tcPr>
          <w:p>
            <w:pPr>
              <w:spacing w:line="312"/>
            </w:pPr>
            <w:r>
              <w:rPr>
                <w:rFonts w:ascii="Times New Roman"/>
                <w:sz w:val="21"/>
                <w:szCs w:val="21"/>
              </w:rPr>
              <w:t xml:space="preserve">925</w:t>
            </w:r>
          </w:p>
        </w:tc>
        <w:tc>
          <w:tcPr>
            <w:shd w:fill="D6E4F0" w:val="clear"/>
            <w:tcMar>
              <w:top w:type="dxa" w:w="80"/>
              <w:left w:type="dxa" w:w="150"/>
              <w:bottom w:type="dxa" w:w="80"/>
              <w:right w:type="dxa" w:w="150"/>
            </w:tcMar>
          </w:tcPr>
          <w:p>
            <w:pPr>
              <w:spacing w:line="312"/>
            </w:pPr>
            <w:r>
              <w:rPr>
                <w:rFonts w:ascii="Times New Roman"/>
                <w:sz w:val="21"/>
                <w:szCs w:val="21"/>
              </w:rPr>
              <w:t xml:space="preserve">18.3%</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229</w:t>
            </w:r>
          </w:p>
        </w:tc>
        <w:tc>
          <w:tcPr>
            <w:shd w:fill="FFFFFF" w:val="clear"/>
            <w:tcMar>
              <w:top w:type="dxa" w:w="80"/>
              <w:left w:type="dxa" w:w="150"/>
              <w:bottom w:type="dxa" w:w="80"/>
              <w:right w:type="dxa" w:w="150"/>
            </w:tcMar>
          </w:tcPr>
          <w:p>
            <w:pPr>
              <w:spacing w:line="312"/>
            </w:pPr>
            <w:r>
              <w:rPr>
                <w:rFonts w:ascii="Times New Roman"/>
                <w:sz w:val="21"/>
                <w:szCs w:val="21"/>
              </w:rPr>
              <w:t xml:space="preserve">-2.4%</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Engineering</w:t>
            </w:r>
          </w:p>
        </w:tc>
        <w:tc>
          <w:tcPr>
            <w:shd w:fill="D6E4F0" w:val="clear"/>
            <w:tcMar>
              <w:top w:type="dxa" w:w="80"/>
              <w:left w:type="dxa" w:w="150"/>
              <w:bottom w:type="dxa" w:w="80"/>
              <w:right w:type="dxa" w:w="150"/>
            </w:tcMar>
          </w:tcPr>
          <w:p>
            <w:pPr>
              <w:spacing w:line="312"/>
            </w:pPr>
            <w:r>
              <w:rPr>
                <w:rFonts w:ascii="Times New Roman"/>
                <w:sz w:val="21"/>
                <w:szCs w:val="21"/>
              </w:rPr>
              <w:t xml:space="preserve">610</w:t>
            </w:r>
          </w:p>
        </w:tc>
        <w:tc>
          <w:tcPr>
            <w:shd w:fill="D6E4F0" w:val="clear"/>
            <w:tcMar>
              <w:top w:type="dxa" w:w="80"/>
              <w:left w:type="dxa" w:w="150"/>
              <w:bottom w:type="dxa" w:w="80"/>
              <w:right w:type="dxa" w:w="150"/>
            </w:tcMar>
          </w:tcPr>
          <w:p>
            <w:pPr>
              <w:spacing w:line="312"/>
            </w:pPr>
            <w:r>
              <w:rPr>
                <w:rFonts w:ascii="Times New Roman"/>
                <w:sz w:val="21"/>
                <w:szCs w:val="21"/>
              </w:rPr>
              <w:t xml:space="preserve">14.2%</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People Ops</w:t>
            </w:r>
          </w:p>
        </w:tc>
        <w:tc>
          <w:tcPr>
            <w:shd w:fill="FFFFFF" w:val="clear"/>
            <w:tcMar>
              <w:top w:type="dxa" w:w="80"/>
              <w:left w:type="dxa" w:w="150"/>
              <w:bottom w:type="dxa" w:w="80"/>
              <w:right w:type="dxa" w:w="150"/>
            </w:tcMar>
          </w:tcPr>
          <w:p>
            <w:pPr>
              <w:spacing w:line="312"/>
            </w:pPr>
            <w:r>
              <w:rPr>
                <w:rFonts w:ascii="Times New Roman"/>
                <w:sz w:val="21"/>
                <w:szCs w:val="21"/>
              </w:rPr>
              <w:t xml:space="preserve">653</w:t>
            </w:r>
          </w:p>
        </w:tc>
        <w:tc>
          <w:tcPr>
            <w:shd w:fill="FFFFFF" w:val="clear"/>
            <w:tcMar>
              <w:top w:type="dxa" w:w="80"/>
              <w:left w:type="dxa" w:w="150"/>
              <w:bottom w:type="dxa" w:w="80"/>
              <w:right w:type="dxa" w:w="150"/>
            </w:tcMar>
          </w:tcPr>
          <w:p>
            <w:pPr>
              <w:spacing w:line="312"/>
            </w:pPr>
            <w:r>
              <w:rPr>
                <w:rFonts w:ascii="Times New Roman"/>
                <w:sz w:val="21"/>
                <w:szCs w:val="21"/>
              </w:rPr>
              <w:t xml:space="preserve">8.8%</w:t>
            </w:r>
          </w:p>
        </w:tc>
      </w:tr>
    </w:tbl>
    <w:p>
      <w:pPr>
        <w:pStyle w:val="Heading1"/>
        <w:spacing w:after="120" w:before="240" w:line="312"/>
      </w:pPr>
      <w:r>
        <w:rPr>
          <w:rFonts w:ascii="Arial"/>
          <w:b/>
          <w:bCs/>
          <w:color w:val="1F4E79"/>
          <w:sz w:val="30"/>
          <w:szCs w:val="30"/>
        </w:rPr>
        <w:t xml:space="preserve">Executive Overview</w:t>
      </w:r>
    </w:p>
    <w:p>
      <w:pPr>
        <w:spacing w:line="312"/>
        <w:jc w:val="both"/>
      </w:pPr>
      <w:r>
        <w:rPr>
          <w:rFonts w:ascii="Times New Roman"/>
          <w:color w:val="333333"/>
          <w:sz w:val="24"/>
          <w:szCs w:val="24"/>
        </w:rPr>
        <w:t xml:space="preserve">Cross-team efficiency rose and delivery lead times shortened versus last quarter. Revenue concentration in the main product line increased and retention improved. Cost pressure and regional competition remain the principal risks to monitor.</w:t>
      </w:r>
    </w:p>
    <w:p>
      <w:pPr>
        <w:pStyle w:val="Heading1"/>
        <w:spacing w:after="120" w:before="240" w:line="312"/>
      </w:pPr>
      <w:r>
        <w:rPr>
          <w:rFonts w:ascii="Arial"/>
          <w:b/>
          <w:bCs/>
          <w:color w:val="1F4E79"/>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We recommend expanding channel investment and rebalancing resourcing to sustain growth.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2026-10-08T13:33:28.345Z</dcterms:created>
  <dcterms:modified xsi:type="dcterms:W3CDTF">2026-10-08T13:33:28.345Z</dcterms:modified>
</cp:coreProperties>
</file>

<file path=docProps/custom.xml><?xml version="1.0" encoding="utf-8"?>
<Properties xmlns="http://schemas.openxmlformats.org/officeDocument/2006/custom-properties" xmlns:vt="http://schemas.openxmlformats.org/officeDocument/2006/docPropsVTypes"/>
</file>