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33544A"/>
          <w:sz w:val="30"/>
          <w:szCs w:val="30"/>
        </w:rPr>
        <w:t xml:space="preserve">Risks and Challenges</w:t>
      </w:r>
    </w:p>
    <w:p>
      <w:pPr>
        <w:spacing w:line="312"/>
        <w:jc w:val="both"/>
      </w:pPr>
      <w:r>
        <w:rPr>
          <w:rFonts w:ascii="Times New Roman"/>
          <w:color w:val="333333"/>
          <w:sz w:val="24"/>
          <w:szCs w:val="24"/>
        </w:rPr>
        <w:t xml:space="preserve">The business delivered steady growth this quarter, with core KPIs on target. Revenue concentration in the main product line increased and retention improved. We recommend expanding channel investment and rebalancing resourcing to sustain growth.</w:t>
      </w:r>
    </w:p>
    <w:p>
      <w:pPr>
        <w:pStyle w:val="Heading1"/>
        <w:spacing w:after="120" w:before="240" w:line="312"/>
      </w:pPr>
      <w:r>
        <w:rPr>
          <w:rFonts w:ascii="Arial"/>
          <w:b/>
          <w:bCs/>
          <w:color w:val="33544A"/>
          <w:sz w:val="30"/>
          <w:szCs w:val="30"/>
        </w:rPr>
        <w:t xml:space="preserve">Next-Step Plan</w:t>
      </w:r>
    </w:p>
    <w:p>
      <w:pPr>
        <w:spacing w:line="312"/>
        <w:jc w:val="both"/>
      </w:pPr>
      <w:r>
        <w:rPr>
          <w:rFonts w:ascii="Times New Roman"/>
          <w:color w:val="333333"/>
          <w:sz w:val="24"/>
          <w:szCs w:val="24"/>
        </w:rPr>
        <w:t xml:space="preserve">We recommend expanding channel investment and rebalancing resourcing to sustain growth. The business delivered steady growth this quarter, with core KPIs on target. Cross-team efficiency rose and delivery lead times shortened versus last quarter.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33544A"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33544A"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33544A"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Pulse Dashboard</w:t>
            </w:r>
          </w:p>
        </w:tc>
        <w:tc>
          <w:tcPr>
            <w:shd w:fill="FFFFFF" w:val="clear"/>
            <w:tcMar>
              <w:top w:type="dxa" w:w="80"/>
              <w:left w:type="dxa" w:w="150"/>
              <w:bottom w:type="dxa" w:w="80"/>
              <w:right w:type="dxa" w:w="150"/>
            </w:tcMar>
          </w:tcPr>
          <w:p>
            <w:pPr>
              <w:spacing w:line="312"/>
            </w:pPr>
            <w:r>
              <w:rPr>
                <w:rFonts w:ascii="Times New Roman"/>
                <w:sz w:val="21"/>
                <w:szCs w:val="21"/>
              </w:rPr>
              <w:t xml:space="preserve">379</w:t>
            </w:r>
          </w:p>
        </w:tc>
        <w:tc>
          <w:tcPr>
            <w:shd w:fill="FFFFFF" w:val="clear"/>
            <w:tcMar>
              <w:top w:type="dxa" w:w="80"/>
              <w:left w:type="dxa" w:w="150"/>
              <w:bottom w:type="dxa" w:w="80"/>
              <w:right w:type="dxa" w:w="150"/>
            </w:tcMar>
          </w:tcPr>
          <w:p>
            <w:pPr>
              <w:spacing w:line="312"/>
            </w:pPr>
            <w:r>
              <w:rPr>
                <w:rFonts w:ascii="Times New Roman"/>
                <w:sz w:val="21"/>
                <w:szCs w:val="21"/>
              </w:rPr>
              <w:t xml:space="preserve">13.9%</w:t>
            </w:r>
          </w:p>
        </w:tc>
      </w:tr>
      <w:tr>
        <w:trPr>
          <w:cantSplit/>
        </w:trPr>
        <w:tc>
          <w:tcPr>
            <w:shd w:fill="E3EFE7" w:val="clear"/>
            <w:tcMar>
              <w:top w:type="dxa" w:w="80"/>
              <w:left w:type="dxa" w:w="150"/>
              <w:bottom w:type="dxa" w:w="80"/>
              <w:right w:type="dxa" w:w="150"/>
            </w:tcMar>
          </w:tcPr>
          <w:p>
            <w:pPr>
              <w:spacing w:line="312"/>
            </w:pPr>
            <w:r>
              <w:rPr>
                <w:rFonts w:ascii="Times New Roman"/>
                <w:sz w:val="21"/>
                <w:szCs w:val="21"/>
              </w:rPr>
              <w:t xml:space="preserve">Nimbus Storage</w:t>
            </w:r>
          </w:p>
        </w:tc>
        <w:tc>
          <w:tcPr>
            <w:shd w:fill="E3EFE7" w:val="clear"/>
            <w:tcMar>
              <w:top w:type="dxa" w:w="80"/>
              <w:left w:type="dxa" w:w="150"/>
              <w:bottom w:type="dxa" w:w="80"/>
              <w:right w:type="dxa" w:w="150"/>
            </w:tcMar>
          </w:tcPr>
          <w:p>
            <w:pPr>
              <w:spacing w:line="312"/>
            </w:pPr>
            <w:r>
              <w:rPr>
                <w:rFonts w:ascii="Times New Roman"/>
                <w:sz w:val="21"/>
                <w:szCs w:val="21"/>
              </w:rPr>
              <w:t xml:space="preserve">836</w:t>
            </w:r>
          </w:p>
        </w:tc>
        <w:tc>
          <w:tcPr>
            <w:shd w:fill="E3EFE7" w:val="clear"/>
            <w:tcMar>
              <w:top w:type="dxa" w:w="80"/>
              <w:left w:type="dxa" w:w="150"/>
              <w:bottom w:type="dxa" w:w="80"/>
              <w:right w:type="dxa" w:w="150"/>
            </w:tcMar>
          </w:tcPr>
          <w:p>
            <w:pPr>
              <w:spacing w:line="312"/>
            </w:pPr>
            <w:r>
              <w:rPr>
                <w:rFonts w:ascii="Times New Roman"/>
                <w:sz w:val="21"/>
                <w:szCs w:val="21"/>
              </w:rPr>
              <w:t xml:space="preserve">27.8%</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Nimbus Storage</w:t>
            </w:r>
          </w:p>
        </w:tc>
        <w:tc>
          <w:tcPr>
            <w:shd w:fill="FFFFFF" w:val="clear"/>
            <w:tcMar>
              <w:top w:type="dxa" w:w="80"/>
              <w:left w:type="dxa" w:w="150"/>
              <w:bottom w:type="dxa" w:w="80"/>
              <w:right w:type="dxa" w:w="150"/>
            </w:tcMar>
          </w:tcPr>
          <w:p>
            <w:pPr>
              <w:spacing w:line="312"/>
            </w:pPr>
            <w:r>
              <w:rPr>
                <w:rFonts w:ascii="Times New Roman"/>
                <w:sz w:val="21"/>
                <w:szCs w:val="21"/>
              </w:rPr>
              <w:t xml:space="preserve">866</w:t>
            </w:r>
          </w:p>
        </w:tc>
        <w:tc>
          <w:tcPr>
            <w:shd w:fill="FFFFFF" w:val="clear"/>
            <w:tcMar>
              <w:top w:type="dxa" w:w="80"/>
              <w:left w:type="dxa" w:w="150"/>
              <w:bottom w:type="dxa" w:w="80"/>
              <w:right w:type="dxa" w:w="150"/>
            </w:tcMar>
          </w:tcPr>
          <w:p>
            <w:pPr>
              <w:spacing w:line="312"/>
            </w:pPr>
            <w:r>
              <w:rPr>
                <w:rFonts w:ascii="Times New Roman"/>
                <w:sz w:val="21"/>
                <w:szCs w:val="21"/>
              </w:rPr>
              <w:t xml:space="preserve">44.8%</w:t>
            </w:r>
          </w:p>
        </w:tc>
      </w:tr>
      <w:tr>
        <w:trPr>
          <w:cantSplit/>
        </w:trPr>
        <w:tc>
          <w:tcPr>
            <w:shd w:fill="E3EFE7" w:val="clear"/>
            <w:tcMar>
              <w:top w:type="dxa" w:w="80"/>
              <w:left w:type="dxa" w:w="150"/>
              <w:bottom w:type="dxa" w:w="80"/>
              <w:right w:type="dxa" w:w="150"/>
            </w:tcMar>
          </w:tcPr>
          <w:p>
            <w:pPr>
              <w:spacing w:line="312"/>
            </w:pPr>
            <w:r>
              <w:rPr>
                <w:rFonts w:ascii="Times New Roman"/>
                <w:sz w:val="21"/>
                <w:szCs w:val="21"/>
              </w:rPr>
              <w:t xml:space="preserve">Sales</w:t>
            </w:r>
          </w:p>
        </w:tc>
        <w:tc>
          <w:tcPr>
            <w:shd w:fill="E3EFE7" w:val="clear"/>
            <w:tcMar>
              <w:top w:type="dxa" w:w="80"/>
              <w:left w:type="dxa" w:w="150"/>
              <w:bottom w:type="dxa" w:w="80"/>
              <w:right w:type="dxa" w:w="150"/>
            </w:tcMar>
          </w:tcPr>
          <w:p>
            <w:pPr>
              <w:spacing w:line="312"/>
            </w:pPr>
            <w:r>
              <w:rPr>
                <w:rFonts w:ascii="Times New Roman"/>
                <w:sz w:val="21"/>
                <w:szCs w:val="21"/>
              </w:rPr>
              <w:t xml:space="preserve">220</w:t>
            </w:r>
          </w:p>
        </w:tc>
        <w:tc>
          <w:tcPr>
            <w:shd w:fill="E3EFE7" w:val="clear"/>
            <w:tcMar>
              <w:top w:type="dxa" w:w="80"/>
              <w:left w:type="dxa" w:w="150"/>
              <w:bottom w:type="dxa" w:w="80"/>
              <w:right w:type="dxa" w:w="150"/>
            </w:tcMar>
          </w:tcPr>
          <w:p>
            <w:pPr>
              <w:spacing w:line="312"/>
            </w:pPr>
            <w:r>
              <w:rPr>
                <w:rFonts w:ascii="Times New Roman"/>
                <w:sz w:val="21"/>
                <w:szCs w:val="21"/>
              </w:rPr>
              <w:t xml:space="preserve">23.8%</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Marketing</w:t>
            </w:r>
          </w:p>
        </w:tc>
        <w:tc>
          <w:tcPr>
            <w:shd w:fill="FFFFFF" w:val="clear"/>
            <w:tcMar>
              <w:top w:type="dxa" w:w="80"/>
              <w:left w:type="dxa" w:w="150"/>
              <w:bottom w:type="dxa" w:w="80"/>
              <w:right w:type="dxa" w:w="150"/>
            </w:tcMar>
          </w:tcPr>
          <w:p>
            <w:pPr>
              <w:spacing w:line="312"/>
            </w:pPr>
            <w:r>
              <w:rPr>
                <w:rFonts w:ascii="Times New Roman"/>
                <w:sz w:val="21"/>
                <w:szCs w:val="21"/>
              </w:rPr>
              <w:t xml:space="preserve">217</w:t>
            </w:r>
          </w:p>
        </w:tc>
        <w:tc>
          <w:tcPr>
            <w:shd w:fill="FFFFFF" w:val="clear"/>
            <w:tcMar>
              <w:top w:type="dxa" w:w="80"/>
              <w:left w:type="dxa" w:w="150"/>
              <w:bottom w:type="dxa" w:w="80"/>
              <w:right w:type="dxa" w:w="150"/>
            </w:tcMar>
          </w:tcPr>
          <w:p>
            <w:pPr>
              <w:spacing w:line="312"/>
            </w:pPr>
            <w:r>
              <w:rPr>
                <w:rFonts w:ascii="Times New Roman"/>
                <w:sz w:val="21"/>
                <w:szCs w:val="21"/>
              </w:rPr>
              <w:t xml:space="preserve">-8.4%</w:t>
            </w:r>
          </w:p>
        </w:tc>
      </w:tr>
    </w:tbl>
    <w:p>
      <w:pPr>
        <w:pStyle w:val="Heading1"/>
        <w:spacing w:after="120" w:before="240" w:line="312"/>
      </w:pPr>
      <w:r>
        <w:rPr>
          <w:rFonts w:ascii="Arial"/>
          <w:b/>
          <w:bCs/>
          <w:color w:val="33544A"/>
          <w:sz w:val="30"/>
          <w:szCs w:val="30"/>
        </w:rPr>
        <w:t xml:space="preserve">Performance Analysis</w:t>
      </w:r>
    </w:p>
    <w:p>
      <w:pPr>
        <w:spacing w:line="312"/>
        <w:jc w:val="both"/>
      </w:pPr>
      <w:r>
        <w:rPr>
          <w:rFonts w:ascii="Times New Roman"/>
          <w:color w:val="333333"/>
          <w:sz w:val="24"/>
          <w:szCs w:val="24"/>
        </w:rPr>
        <w:t xml:space="preserve">Revenue concentration in the main product line increased and retention improved. Cost pressure and regional competition remain the principal risks to monitor. We recommend expanding channel investment and rebalancing resourcing to sustain growth.</w:t>
      </w:r>
    </w:p>
    <w:p>
      <w:pPr>
        <w:pStyle w:val="Heading1"/>
        <w:spacing w:after="120" w:before="240" w:line="312"/>
      </w:pPr>
      <w:r>
        <w:rPr>
          <w:rFonts w:ascii="Arial"/>
          <w:b/>
          <w:bCs/>
          <w:color w:val="33544A"/>
          <w:sz w:val="30"/>
          <w:szCs w:val="30"/>
        </w:rPr>
        <w:t xml:space="preserve">Executive Overview</w:t>
      </w:r>
    </w:p>
    <w:p>
      <w:pPr>
        <w:spacing w:line="312"/>
        <w:jc w:val="both"/>
      </w:pPr>
      <w:r>
        <w:rPr>
          <w:rFonts w:ascii="Times New Roman"/>
          <w:color w:val="333333"/>
          <w:sz w:val="24"/>
          <w:szCs w:val="24"/>
        </w:rPr>
        <w:t xml:space="preserve">We recommend expanding channel investment and rebalancing resourcing to sustain growth. Revenue concentration in the main product line increased and retention improved. The business delivered steady growth this quarter, with core KPIs on target.</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2026-10-08T13:33:31.795Z</dcterms:created>
  <dcterms:modified xsi:type="dcterms:W3CDTF">2026-10-08T13:33:31.795Z</dcterms:modified>
</cp:coreProperties>
</file>

<file path=docProps/custom.xml><?xml version="1.0" encoding="utf-8"?>
<Properties xmlns="http://schemas.openxmlformats.org/officeDocument/2006/custom-properties" xmlns:vt="http://schemas.openxmlformats.org/officeDocument/2006/docPropsVTypes"/>
</file>