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t>Project Falcon Closure Report</w:t>
      </w:r>
    </w:p>
    <w:p>
      <w:pPr>
        <w:spacing w:line="312" w:lineRule="auto"/>
      </w:pPr>
      <w:r>
        <w:t>Progress on track; risks contained.</w:t>
      </w:r>
    </w:p>
    <w:p>
      <w:pPr>
        <w:spacing w:line="312" w:lineRule="auto"/>
      </w:pPr>
      <w:r>
        <w:t>Milestones M1 and M2 delivered on time.</w:t>
      </w:r>
    </w:p>
    <w:p>
      <w:pPr>
        <w:pStyle w:val="Heading2"/>
        <w:spacing w:line="312" w:lineRule="auto"/>
      </w:pPr>
      <w:r>
        <w:t>Milestone Review</w:t>
      </w:r>
    </w:p>
    <w:p>
      <w:pPr>
        <w:spacing w:line="312" w:lineRule="auto"/>
      </w:pPr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p>
      <w:pPr>
        <w:pStyle w:val="Heading2"/>
        <w:spacing w:line="312" w:lineRule="auto"/>
      </w:pPr>
      <w:r>
        <w:t>Acceptance Outcome</w:t>
      </w:r>
    </w:p>
    <w:p>
      <w:pPr>
        <w:spacing w:line="312" w:lineRule="auto"/>
      </w:pPr>
      <w:r>
        <w:t>All deliverables are accepted; the project enters the warranty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