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spacing w:line="312" w:lineRule="auto"/>
      </w:pPr>
      <w:r>
        <w:t xml:space="preserve"> </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pStyle w:val="Heading2"/>
        <w:spacing w:line="312" w:lineRule="auto"/>
      </w:pPr>
      <w:r>
        <w:rPr>
          <w:b/>
        </w:rPr>
        <w:t>Data Analysis</w:t>
      </w:r>
    </w:p>
    <w:p>
      <w:pPr>
        <w:spacing w:line="312" w:lineRule="auto"/>
      </w:pPr>
      <w:r>
        <w:t>Cross-team efficiency rose and delivery lead times shortened versus last quarter. Revenue concentration in the main product line increased and retention improved. The business delivered steady growth this quarter, with core KPIs on target.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