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line="312"/>
      </w:pPr>
      <w:r>
        <w:rPr>
          <w:rFonts w:ascii="Arial"/>
          <w:b/>
          <w:bCs/>
          <w:color w:val="7B3B00"/>
          <w:sz w:val="30"/>
          <w:szCs w:val="30"/>
        </w:rPr>
        <w:t xml:space="preserve">Summary and Recommendations</w:t>
      </w:r>
    </w:p>
    <w:p>
      <w:pPr>
        <w:spacing w:line="312"/>
        <w:jc w:val="both"/>
      </w:pPr>
      <w:r>
        <w:rPr>
          <w:rFonts w:ascii="Times New Roman"/>
          <w:color w:val="333333"/>
          <w:sz w:val="24"/>
          <w:szCs w:val="24"/>
        </w:rPr>
        <w:t xml:space="preserve">We recommend expanding channel investment and rebalancing resourcing to sustain growth. Revenue concentration in the main product line increased and retention improved. Cross-team efficiency rose and delivery lead times shortened versus last quarter.</w:t>
      </w:r>
    </w:p>
    <w:p>
      <w:pPr>
        <w:pStyle w:val="Heading1"/>
        <w:spacing w:after="120" w:before="240" w:line="312"/>
      </w:pPr>
      <w:r>
        <w:rPr>
          <w:rFonts w:ascii="Arial"/>
          <w:b/>
          <w:bCs/>
          <w:color w:val="7B3B00"/>
          <w:sz w:val="30"/>
          <w:szCs w:val="30"/>
        </w:rPr>
        <w:t xml:space="preserve">Risks and Challenges</w:t>
      </w:r>
    </w:p>
    <w:p>
      <w:pPr>
        <w:spacing w:line="312"/>
        <w:jc w:val="both"/>
      </w:pPr>
      <w:r>
        <w:rPr>
          <w:rFonts w:ascii="Times New Roman"/>
          <w:color w:val="333333"/>
          <w:sz w:val="24"/>
          <w:szCs w:val="24"/>
        </w:rPr>
        <w:t xml:space="preserve">Revenue concentration in the main product line increased and retention improved. Cross-team efficiency rose and delivery lead times shortened versus last quarter. Cost pressure and regional competition remain the principal risks to monitor.</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769"/>
        <w:gridCol w:w="2769"/>
        <w:gridCol w:w="2769"/>
      </w:tblGrid>
      <w:tr>
        <w:trPr>
          <w:cantSplit/>
          <w:tblHeader/>
        </w:trPr>
        <w:tc>
          <w:tcPr>
            <w:shd w:fill="7B3B00" w:val="clear"/>
            <w:tcMar>
              <w:top w:type="dxa" w:w="100"/>
              <w:left w:type="dxa" w:w="150"/>
              <w:bottom w:type="dxa" w:w="100"/>
              <w:right w:type="dxa" w:w="150"/>
            </w:tcMar>
          </w:tcPr>
          <w:p>
            <w:pPr>
              <w:spacing w:line="312"/>
            </w:pPr>
            <w:r>
              <w:rPr>
                <w:rFonts w:ascii="Arial"/>
                <w:b/>
                <w:bCs/>
                <w:color w:val="FFFFFF"/>
                <w:sz w:val="21"/>
                <w:szCs w:val="21"/>
              </w:rPr>
              <w:t xml:space="preserve">Item</w:t>
            </w:r>
          </w:p>
        </w:tc>
        <w:tc>
          <w:tcPr>
            <w:shd w:fill="7B3B00" w:val="clear"/>
            <w:tcMar>
              <w:top w:type="dxa" w:w="100"/>
              <w:left w:type="dxa" w:w="150"/>
              <w:bottom w:type="dxa" w:w="100"/>
              <w:right w:type="dxa" w:w="150"/>
            </w:tcMar>
          </w:tcPr>
          <w:p>
            <w:pPr>
              <w:spacing w:line="312"/>
            </w:pPr>
            <w:r>
              <w:rPr>
                <w:rFonts w:ascii="Arial"/>
                <w:b/>
                <w:bCs/>
                <w:color w:val="FFFFFF"/>
                <w:sz w:val="21"/>
                <w:szCs w:val="21"/>
              </w:rPr>
              <w:t xml:space="preserve">Revenue (k)</w:t>
            </w:r>
          </w:p>
        </w:tc>
        <w:tc>
          <w:tcPr>
            <w:shd w:fill="7B3B00" w:val="clear"/>
            <w:tcMar>
              <w:top w:type="dxa" w:w="100"/>
              <w:left w:type="dxa" w:w="150"/>
              <w:bottom w:type="dxa" w:w="100"/>
              <w:right w:type="dxa" w:w="150"/>
            </w:tcMar>
          </w:tcPr>
          <w:p>
            <w:pPr>
              <w:spacing w:line="312"/>
            </w:pPr>
            <w:r>
              <w:rPr>
                <w:rFonts w:ascii="Arial"/>
                <w:b/>
                <w:bCs/>
                <w:color w:val="FFFFFF"/>
                <w:sz w:val="21"/>
                <w:szCs w:val="21"/>
              </w:rPr>
              <w:t xml:space="preserve">YoY</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Engineering</w:t>
            </w:r>
          </w:p>
        </w:tc>
        <w:tc>
          <w:tcPr>
            <w:shd w:fill="FFFFFF" w:val="clear"/>
            <w:tcMar>
              <w:top w:type="dxa" w:w="80"/>
              <w:left w:type="dxa" w:w="150"/>
              <w:bottom w:type="dxa" w:w="80"/>
              <w:right w:type="dxa" w:w="150"/>
            </w:tcMar>
          </w:tcPr>
          <w:p>
            <w:pPr>
              <w:spacing w:line="312"/>
            </w:pPr>
            <w:r>
              <w:rPr>
                <w:rFonts w:ascii="Times New Roman"/>
                <w:sz w:val="21"/>
                <w:szCs w:val="21"/>
              </w:rPr>
              <w:t xml:space="preserve">969</w:t>
            </w:r>
          </w:p>
        </w:tc>
        <w:tc>
          <w:tcPr>
            <w:shd w:fill="FFFFFF" w:val="clear"/>
            <w:tcMar>
              <w:top w:type="dxa" w:w="80"/>
              <w:left w:type="dxa" w:w="150"/>
              <w:bottom w:type="dxa" w:w="80"/>
              <w:right w:type="dxa" w:w="150"/>
            </w:tcMar>
          </w:tcPr>
          <w:p>
            <w:pPr>
              <w:spacing w:line="312"/>
            </w:pPr>
            <w:r>
              <w:rPr>
                <w:rFonts w:ascii="Times New Roman"/>
                <w:sz w:val="21"/>
                <w:szCs w:val="21"/>
              </w:rPr>
              <w:t xml:space="preserve">16.3%</w:t>
            </w:r>
          </w:p>
        </w:tc>
      </w:tr>
      <w:tr>
        <w:trPr>
          <w:cantSplit/>
        </w:trPr>
        <w:tc>
          <w:tcPr>
            <w:shd w:fill="F5E6D3" w:val="clear"/>
            <w:tcMar>
              <w:top w:type="dxa" w:w="80"/>
              <w:left w:type="dxa" w:w="150"/>
              <w:bottom w:type="dxa" w:w="80"/>
              <w:right w:type="dxa" w:w="150"/>
            </w:tcMar>
          </w:tcPr>
          <w:p>
            <w:pPr>
              <w:spacing w:line="312"/>
            </w:pPr>
            <w:r>
              <w:rPr>
                <w:rFonts w:ascii="Times New Roman"/>
                <w:sz w:val="21"/>
                <w:szCs w:val="21"/>
              </w:rPr>
              <w:t xml:space="preserve">Nimbus Storage</w:t>
            </w:r>
          </w:p>
        </w:tc>
        <w:tc>
          <w:tcPr>
            <w:shd w:fill="F5E6D3" w:val="clear"/>
            <w:tcMar>
              <w:top w:type="dxa" w:w="80"/>
              <w:left w:type="dxa" w:w="150"/>
              <w:bottom w:type="dxa" w:w="80"/>
              <w:right w:type="dxa" w:w="150"/>
            </w:tcMar>
          </w:tcPr>
          <w:p>
            <w:pPr>
              <w:spacing w:line="312"/>
            </w:pPr>
            <w:r>
              <w:rPr>
                <w:rFonts w:ascii="Times New Roman"/>
                <w:sz w:val="21"/>
                <w:szCs w:val="21"/>
              </w:rPr>
              <w:t xml:space="preserve">627</w:t>
            </w:r>
          </w:p>
        </w:tc>
        <w:tc>
          <w:tcPr>
            <w:shd w:fill="F5E6D3" w:val="clear"/>
            <w:tcMar>
              <w:top w:type="dxa" w:w="80"/>
              <w:left w:type="dxa" w:w="150"/>
              <w:bottom w:type="dxa" w:w="80"/>
              <w:right w:type="dxa" w:w="150"/>
            </w:tcMar>
          </w:tcPr>
          <w:p>
            <w:pPr>
              <w:spacing w:line="312"/>
            </w:pPr>
            <w:r>
              <w:rPr>
                <w:rFonts w:ascii="Times New Roman"/>
                <w:sz w:val="21"/>
                <w:szCs w:val="21"/>
              </w:rPr>
              <w:t xml:space="preserve">38.4%</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Vertex Payroll</w:t>
            </w:r>
          </w:p>
        </w:tc>
        <w:tc>
          <w:tcPr>
            <w:shd w:fill="FFFFFF" w:val="clear"/>
            <w:tcMar>
              <w:top w:type="dxa" w:w="80"/>
              <w:left w:type="dxa" w:w="150"/>
              <w:bottom w:type="dxa" w:w="80"/>
              <w:right w:type="dxa" w:w="150"/>
            </w:tcMar>
          </w:tcPr>
          <w:p>
            <w:pPr>
              <w:spacing w:line="312"/>
            </w:pPr>
            <w:r>
              <w:rPr>
                <w:rFonts w:ascii="Times New Roman"/>
                <w:sz w:val="21"/>
                <w:szCs w:val="21"/>
              </w:rPr>
              <w:t xml:space="preserve">485</w:t>
            </w:r>
          </w:p>
        </w:tc>
        <w:tc>
          <w:tcPr>
            <w:shd w:fill="FFFFFF" w:val="clear"/>
            <w:tcMar>
              <w:top w:type="dxa" w:w="80"/>
              <w:left w:type="dxa" w:w="150"/>
              <w:bottom w:type="dxa" w:w="80"/>
              <w:right w:type="dxa" w:w="150"/>
            </w:tcMar>
          </w:tcPr>
          <w:p>
            <w:pPr>
              <w:spacing w:line="312"/>
            </w:pPr>
            <w:r>
              <w:rPr>
                <w:rFonts w:ascii="Times New Roman"/>
                <w:sz w:val="21"/>
                <w:szCs w:val="21"/>
              </w:rPr>
              <w:t xml:space="preserve">-9.5%</w:t>
            </w:r>
          </w:p>
        </w:tc>
      </w:tr>
      <w:tr>
        <w:trPr>
          <w:cantSplit/>
        </w:trPr>
        <w:tc>
          <w:tcPr>
            <w:shd w:fill="F5E6D3" w:val="clear"/>
            <w:tcMar>
              <w:top w:type="dxa" w:w="80"/>
              <w:left w:type="dxa" w:w="150"/>
              <w:bottom w:type="dxa" w:w="80"/>
              <w:right w:type="dxa" w:w="150"/>
            </w:tcMar>
          </w:tcPr>
          <w:p>
            <w:pPr>
              <w:spacing w:line="312"/>
            </w:pPr>
            <w:r>
              <w:rPr>
                <w:rFonts w:ascii="Times New Roman"/>
                <w:sz w:val="21"/>
                <w:szCs w:val="21"/>
              </w:rPr>
              <w:t xml:space="preserve">Sales</w:t>
            </w:r>
          </w:p>
        </w:tc>
        <w:tc>
          <w:tcPr>
            <w:shd w:fill="F5E6D3" w:val="clear"/>
            <w:tcMar>
              <w:top w:type="dxa" w:w="80"/>
              <w:left w:type="dxa" w:w="150"/>
              <w:bottom w:type="dxa" w:w="80"/>
              <w:right w:type="dxa" w:w="150"/>
            </w:tcMar>
          </w:tcPr>
          <w:p>
            <w:pPr>
              <w:spacing w:line="312"/>
            </w:pPr>
            <w:r>
              <w:rPr>
                <w:rFonts w:ascii="Times New Roman"/>
                <w:sz w:val="21"/>
                <w:szCs w:val="21"/>
              </w:rPr>
              <w:t xml:space="preserve">652</w:t>
            </w:r>
          </w:p>
        </w:tc>
        <w:tc>
          <w:tcPr>
            <w:shd w:fill="F5E6D3" w:val="clear"/>
            <w:tcMar>
              <w:top w:type="dxa" w:w="80"/>
              <w:left w:type="dxa" w:w="150"/>
              <w:bottom w:type="dxa" w:w="80"/>
              <w:right w:type="dxa" w:w="150"/>
            </w:tcMar>
          </w:tcPr>
          <w:p>
            <w:pPr>
              <w:spacing w:line="312"/>
            </w:pPr>
            <w:r>
              <w:rPr>
                <w:rFonts w:ascii="Times New Roman"/>
                <w:sz w:val="21"/>
                <w:szCs w:val="21"/>
              </w:rPr>
              <w:t xml:space="preserve">-2.8%</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Sales</w:t>
            </w:r>
          </w:p>
        </w:tc>
        <w:tc>
          <w:tcPr>
            <w:shd w:fill="FFFFFF" w:val="clear"/>
            <w:tcMar>
              <w:top w:type="dxa" w:w="80"/>
              <w:left w:type="dxa" w:w="150"/>
              <w:bottom w:type="dxa" w:w="80"/>
              <w:right w:type="dxa" w:w="150"/>
            </w:tcMar>
          </w:tcPr>
          <w:p>
            <w:pPr>
              <w:spacing w:line="312"/>
            </w:pPr>
            <w:r>
              <w:rPr>
                <w:rFonts w:ascii="Times New Roman"/>
                <w:sz w:val="21"/>
                <w:szCs w:val="21"/>
              </w:rPr>
              <w:t xml:space="preserve">856</w:t>
            </w:r>
          </w:p>
        </w:tc>
        <w:tc>
          <w:tcPr>
            <w:shd w:fill="FFFFFF" w:val="clear"/>
            <w:tcMar>
              <w:top w:type="dxa" w:w="80"/>
              <w:left w:type="dxa" w:w="150"/>
              <w:bottom w:type="dxa" w:w="80"/>
              <w:right w:type="dxa" w:w="150"/>
            </w:tcMar>
          </w:tcPr>
          <w:p>
            <w:pPr>
              <w:spacing w:line="312"/>
            </w:pPr>
            <w:r>
              <w:rPr>
                <w:rFonts w:ascii="Times New Roman"/>
                <w:sz w:val="21"/>
                <w:szCs w:val="21"/>
              </w:rPr>
              <w:t xml:space="preserve">-10.2%</w:t>
            </w:r>
          </w:p>
        </w:tc>
      </w:tr>
    </w:tbl>
    <w:p>
      <w:pPr>
        <w:pStyle w:val="Heading1"/>
        <w:spacing w:after="120" w:before="240" w:line="312"/>
      </w:pPr>
      <w:r>
        <w:rPr>
          <w:rFonts w:ascii="Arial"/>
          <w:b/>
          <w:bCs/>
          <w:color w:val="7B3B00"/>
          <w:sz w:val="30"/>
          <w:szCs w:val="30"/>
        </w:rPr>
        <w:t xml:space="preserve">Next-Step Plan</w:t>
      </w:r>
    </w:p>
    <w:p>
      <w:pPr>
        <w:spacing w:line="312"/>
        <w:jc w:val="both"/>
      </w:pPr>
      <w:r>
        <w:rPr>
          <w:rFonts w:ascii="Times New Roman"/>
          <w:color w:val="333333"/>
          <w:sz w:val="24"/>
          <w:szCs w:val="24"/>
        </w:rPr>
        <w:t xml:space="preserve">We recommend expanding channel investment and rebalancing resourcing to sustain growth. Cross-team efficiency rose and delivery lead times shortened versus last quarter. Revenue concentration in the main product line increased and retention improved.</w:t>
      </w:r>
    </w:p>
    <w:p>
      <w:pPr>
        <w:pStyle w:val="Heading1"/>
        <w:spacing w:after="120" w:before="240" w:line="312"/>
      </w:pPr>
      <w:r>
        <w:rPr>
          <w:rFonts w:ascii="Arial"/>
          <w:b/>
          <w:bCs/>
          <w:color w:val="7B3B00"/>
          <w:sz w:val="30"/>
          <w:szCs w:val="30"/>
        </w:rPr>
        <w:t xml:space="preserve">Executive Overview</w:t>
      </w:r>
    </w:p>
    <w:p>
      <w:pPr>
        <w:spacing w:line="312"/>
        <w:jc w:val="both"/>
      </w:pPr>
      <w:r>
        <w:rPr>
          <w:rFonts w:ascii="Times New Roman"/>
          <w:color w:val="333333"/>
          <w:sz w:val="24"/>
          <w:szCs w:val="24"/>
        </w:rPr>
        <w:t xml:space="preserve">The business delivered steady growth this quarter, with core KPIs on target. Cost pressure and regional competition remain the principal risks to monitor. Revenue concentration in the main product line increased and retention improved.</w:t>
      </w:r>
    </w:p>
    <w:sectPr>
      <w:pgSz w:w="11906" w:h="16838"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2026-10-08T13:33:40.421Z</dcterms:created>
  <dcterms:modified xsi:type="dcterms:W3CDTF">2026-10-08T13:33:40.421Z</dcterms:modified>
</cp:coreProperties>
</file>

<file path=docProps/custom.xml><?xml version="1.0" encoding="utf-8"?>
<Properties xmlns="http://schemas.openxmlformats.org/officeDocument/2006/custom-properties" xmlns:vt="http://schemas.openxmlformats.org/officeDocument/2006/docPropsVTypes"/>
</file>