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,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We recommend expanding channel investment and rebalancing resourcing to sustain growth. Cross-team efficiency rose and delivery lead times shortened versus last quarter. Revenue concentration in the main product line increased and retention improved.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