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120" w:before="0"/>
        <w:jc w:val="center"/>
      </w:pPr>
      <w:r>
        <w:rPr>
          <w:rFonts w:ascii="Arial" w:cs="Arial" w:eastAsia="Arial" w:hAnsi="Arial"/>
          <w:b/>
          <w:bCs/>
          <w:color w:val="1F4E79"/>
          <w:sz w:val="48"/>
          <w:szCs w:val="48"/>
        </w:rPr>
        <w:t xml:space="preserve">TCGA Pan-Cancer Gene Expression</w:t>
      </w:r>
    </w:p>
    <w:p>
      <w:pPr>
        <w:spacing w:after="240" w:before="0"/>
        <w:jc w:val="center"/>
      </w:pPr>
      <w:r>
        <w:rPr>
          <w:rFonts w:ascii="Arial" w:cs="Arial" w:eastAsia="Arial" w:hAnsi="Arial"/>
          <w:b/>
          <w:bCs/>
          <w:color w:val="1F4E79"/>
          <w:sz w:val="48"/>
          <w:szCs w:val="48"/>
        </w:rPr>
        <w:t xml:space="preserve">Classification Using Deep Learning</w:t>
      </w:r>
    </w:p>
    <w:p>
      <w:pPr>
        <w:pBdr>
          <w:bottom w:val="single" w:color="2E75B6" w:sz="6" w:space="1"/>
        </w:pBdr>
        <w:spacing w:after="360" w:before="0"/>
        <w:jc w:val="center"/>
      </w:pPr>
      <w:r>
        <w:rPr>
          <w:sz w:val="22"/>
          <w:szCs w:val="22"/>
        </w:rPr>
        <w:t xml:space="preserve"/>
      </w:r>
    </w:p>
    <w:p>
      <w:pPr>
        <w:spacing w:after="40" w:before="40"/>
      </w:pPr>
      <w:r>
        <w:t xml:space="preserve"/>
      </w:r>
    </w:p>
    <w:p>
      <w:pPr>
        <w:spacing w:after="80" w:before="120"/>
        <w:jc w:val="center"/>
      </w:pPr>
      <w:r>
        <w:rPr>
          <w:rFonts w:ascii="Arial" w:cs="Arial" w:eastAsia="Arial" w:hAnsi="Arial"/>
          <w:b/>
          <w:bCs/>
          <w:color w:val="2E75B6"/>
          <w:sz w:val="32"/>
          <w:szCs w:val="32"/>
        </w:rPr>
        <w:t xml:space="preserve">Full Project Report</w:t>
      </w:r>
    </w:p>
    <w:p>
      <w:pPr>
        <w:spacing w:after="80" w:before="80"/>
        <w:jc w:val="center"/>
      </w:pPr>
      <w:r>
        <w:rPr>
          <w:rFonts w:ascii="Arial" w:cs="Arial" w:eastAsia="Arial" w:hAnsi="Arial"/>
          <w:color w:val="555555"/>
          <w:sz w:val="24"/>
          <w:szCs w:val="24"/>
        </w:rPr>
        <w:t xml:space="preserve">Comprehensive Technical &amp; Scientific Documentation</w:t>
      </w:r>
    </w:p>
    <w:p>
      <w:pPr>
        <w:spacing w:after="40" w:before="40"/>
      </w:pPr>
      <w:r>
        <w:t xml:space="preserve"/>
      </w:r>
    </w:p>
    <w:p>
      <w:pPr>
        <w:spacing w:after="40" w:before="40"/>
      </w:pPr>
      <w:r>
        <w:t xml:space="preserve"/>
      </w:r>
    </w:p>
    <w:p>
      <w:pPr>
        <w:spacing w:after="60" w:before="80"/>
        <w:jc w:val="center"/>
      </w:pPr>
      <w:r>
        <w:rPr>
          <w:rFonts w:ascii="Arial" w:cs="Arial" w:eastAsia="Arial" w:hAnsi="Arial"/>
          <w:b/>
          <w:bCs/>
          <w:sz w:val="26"/>
          <w:szCs w:val="26"/>
        </w:rPr>
        <w:t xml:space="preserve">BIO Final Project</w:t>
      </w:r>
    </w:p>
    <w:p>
      <w:pPr>
        <w:spacing w:after="60" w:before="60"/>
        <w:jc w:val="center"/>
      </w:pPr>
      <w:r>
        <w:rPr>
          <w:rFonts w:ascii="Arial" w:cs="Arial" w:eastAsia="Arial" w:hAnsi="Arial"/>
          <w:color w:val="555555"/>
          <w:sz w:val="24"/>
          <w:szCs w:val="24"/>
        </w:rPr>
        <w:t xml:space="preserve">Long Island University</w:t>
      </w:r>
    </w:p>
    <w:p>
      <w:pPr>
        <w:spacing w:after="60" w:before="60"/>
        <w:jc w:val="center"/>
      </w:pPr>
      <w:r>
        <w:rPr>
          <w:rFonts w:ascii="Arial" w:cs="Arial" w:eastAsia="Arial" w:hAnsi="Arial"/>
          <w:color w:val="555555"/>
          <w:sz w:val="24"/>
          <w:szCs w:val="24"/>
        </w:rPr>
        <w:t xml:space="preserve">April 2026</w:t>
      </w:r>
    </w:p>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F4E79"/>
          <w:sz w:val="32"/>
          <w:szCs w:val="32"/>
        </w:rPr>
        <w:t xml:space="preserve">Abstract</w:t>
      </w:r>
    </w:p>
    <w:p>
      <w:pPr>
        <w:spacing w:after="80" w:before="80"/>
        <w:jc w:val="both"/>
      </w:pPr>
      <w:r>
        <w:rPr>
          <w:rFonts w:ascii="Arial" w:cs="Arial" w:eastAsia="Arial" w:hAnsi="Arial"/>
          <w:sz w:val="22"/>
          <w:szCs w:val="22"/>
        </w:rPr>
        <w:t xml:space="preserve">This project presents a deep learning pipeline for pan-cancer type classification using RNA-Seq gene expression data from The Cancer Genome Atlas (TCGA). Given 10,459 patient samples with 20,530 gene expression features, our system classifies each sample into one of 32 distinct cancer types. We design a 1D Convolutional Neural Network (1D-CNN) with Squeeze-Excitation (SE) attention blocks, train an ensemble of five independently seeded models, and apply a multi-stage post-processing pipeline including Test-Time Augmentation (TTA), Nelder-Mead weighted ensemble optimization, meta-learner stacking, and temperature scaling calibration. A biologically motivated decision to merge the two colorectal cancer subtypes (READ and COAD) into a single class directly addresses the most frequently confused class pair identified in prior work. Our final ensemble achieves 94.33% test accuracy, a Macro F1-score of 0.9250, and a Mean ROC-AUC of 0.9957 across 32 cancer types, with 7 cancer types classified perfectly (F1 = 1.0000).</w:t>
      </w:r>
    </w:p>
    <w:p>
      <w:pPr>
        <w:spacing w:after="40" w:before="40"/>
      </w:pPr>
      <w:r>
        <w:t xml:space="preserve"/>
      </w:r>
    </w:p>
    <w:p>
      <w:pPr>
        <w:pStyle w:val="Heading1"/>
        <w:spacing w:after="120" w:before="360"/>
      </w:pPr>
      <w:r>
        <w:rPr>
          <w:rFonts w:ascii="Arial" w:cs="Arial" w:eastAsia="Arial" w:hAnsi="Arial"/>
          <w:b/>
          <w:bCs/>
          <w:color w:val="1F4E79"/>
          <w:sz w:val="32"/>
          <w:szCs w:val="32"/>
        </w:rPr>
        <w:t xml:space="preserve">1. Introduction</w:t>
      </w:r>
    </w:p>
    <w:p>
      <w:pPr>
        <w:pStyle w:val="Heading2"/>
        <w:spacing w:after="80" w:before="240"/>
      </w:pPr>
      <w:r>
        <w:rPr>
          <w:rFonts w:ascii="Arial" w:cs="Arial" w:eastAsia="Arial" w:hAnsi="Arial"/>
          <w:b/>
          <w:bCs/>
          <w:color w:val="2E75B6"/>
          <w:sz w:val="26"/>
          <w:szCs w:val="26"/>
        </w:rPr>
        <w:t xml:space="preserve">1.1 Problem Statement</w:t>
      </w:r>
    </w:p>
    <w:p>
      <w:pPr>
        <w:spacing w:after="80" w:before="80"/>
        <w:jc w:val="both"/>
      </w:pPr>
      <w:r>
        <w:rPr>
          <w:rFonts w:ascii="Arial" w:cs="Arial" w:eastAsia="Arial" w:hAnsi="Arial"/>
          <w:sz w:val="22"/>
          <w:szCs w:val="22"/>
        </w:rPr>
        <w:t xml:space="preserve">Cancer is not a single disease but a collection of over 100 distinct malignancies that differ in tissue of origin, molecular driver, clinical behavior, and treatment response. Accurate identification of cancer type from molecular data is clinically critical: it guides chemotherapy selection, surgical planning, and immunotherapy eligibility. Misclassification can lead to suboptimal or harmful treatment.</w:t>
      </w:r>
    </w:p>
    <w:p>
      <w:pPr>
        <w:spacing w:after="80" w:before="80"/>
        <w:jc w:val="both"/>
      </w:pPr>
      <w:r>
        <w:rPr>
          <w:rFonts w:ascii="Arial" w:cs="Arial" w:eastAsia="Arial" w:hAnsi="Arial"/>
          <w:sz w:val="22"/>
          <w:szCs w:val="22"/>
        </w:rPr>
        <w:t xml:space="preserve">Traditional cancer diagnosis relies on histopathological tissue biopsy — examining cell morphology under a microscope. However, biopsy-based methods are invasive, time-consuming, subject to inter-observer variability, and increasingly insufficient as tumors are further stratified into molecular subtypes. Gene expression profiling — measuring the activity level of thousands of genes simultaneously via RNA sequencing — offers a comprehensive molecular fingerprint of a tumor. The challenge is that a single patient sample produces 20,000+ measurements, and the mapping from this high-dimensional data to one of 32 cancer labels is a complex, non-linear pattern recognition problem.</w:t>
      </w:r>
    </w:p>
    <w:p>
      <w:pPr>
        <w:spacing w:after="80" w:before="80"/>
        <w:jc w:val="both"/>
      </w:pPr>
      <w:r>
        <w:rPr>
          <w:rFonts w:ascii="Arial" w:cs="Arial" w:eastAsia="Arial" w:hAnsi="Arial"/>
          <w:sz w:val="22"/>
          <w:szCs w:val="22"/>
        </w:rPr>
        <w:t xml:space="preserve">This project builds an end-to-end deep learning system that takes a patient's RNA-Seq gene expression profile as input and outputs a probability distribution over 32 cancer types, with the highest-probability class as the predicted cancer type.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1.2 Why This Matters</w:t>
      </w:r>
    </w:p>
    <w:p>
      <w:pPr>
        <w:pStyle w:val="ListParagraph"/>
        <w:numPr>
          <w:ilvl w:val="0"/>
          <w:numId w:val="2"/>
        </w:numPr>
        <w:spacing w:after="60" w:before="60"/>
      </w:pPr>
      <w:r>
        <w:rPr>
          <w:rFonts w:ascii="Arial" w:cs="Arial" w:eastAsia="Arial" w:hAnsi="Arial"/>
          <w:sz w:val="22"/>
          <w:szCs w:val="22"/>
        </w:rPr>
        <w:t xml:space="preserve">Early detection potential: molecular signatures can identify cancer even when tissue morphology is ambiguous.</w:t>
      </w:r>
    </w:p>
    <w:p>
      <w:pPr>
        <w:pStyle w:val="ListParagraph"/>
        <w:numPr>
          <w:ilvl w:val="0"/>
          <w:numId w:val="2"/>
        </w:numPr>
        <w:spacing w:after="60" w:before="60"/>
      </w:pPr>
      <w:r>
        <w:rPr>
          <w:rFonts w:ascii="Arial" w:cs="Arial" w:eastAsia="Arial" w:hAnsi="Arial"/>
          <w:sz w:val="22"/>
          <w:szCs w:val="22"/>
        </w:rPr>
        <w:t xml:space="preserve">Liquid biopsy: circulating tumor cells or cell-free DNA can be profiled without invasive tissue biopsy.</w:t>
      </w:r>
    </w:p>
    <w:p>
      <w:pPr>
        <w:pStyle w:val="ListParagraph"/>
        <w:numPr>
          <w:ilvl w:val="0"/>
          <w:numId w:val="2"/>
        </w:numPr>
        <w:spacing w:after="60" w:before="60"/>
      </w:pPr>
      <w:r>
        <w:rPr>
          <w:rFonts w:ascii="Arial" w:cs="Arial" w:eastAsia="Arial" w:hAnsi="Arial"/>
          <w:sz w:val="22"/>
          <w:szCs w:val="22"/>
        </w:rPr>
        <w:t xml:space="preserve">Rare cancers: deep learning can learn distinguishing features for rare cancer types where expert knowledge is scarce.</w:t>
      </w:r>
    </w:p>
    <w:p>
      <w:pPr>
        <w:pStyle w:val="ListParagraph"/>
        <w:numPr>
          <w:ilvl w:val="0"/>
          <w:numId w:val="2"/>
        </w:numPr>
        <w:spacing w:after="60" w:before="60"/>
      </w:pPr>
      <w:r>
        <w:rPr>
          <w:rFonts w:ascii="Arial" w:cs="Arial" w:eastAsia="Arial" w:hAnsi="Arial"/>
          <w:sz w:val="22"/>
          <w:szCs w:val="22"/>
        </w:rPr>
        <w:t xml:space="preserve">Precision oncology: pan-cancer models can uncover shared molecular mechanisms across cancer types, enabling repurposing of therapies.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1.3 Project Scope</w:t>
      </w:r>
    </w:p>
    <w:p>
      <w:pPr>
        <w:spacing w:after="80" w:before="80"/>
        <w:jc w:val="both"/>
      </w:pPr>
      <w:r>
        <w:rPr>
          <w:rFonts w:ascii="Arial" w:cs="Arial" w:eastAsia="Arial" w:hAnsi="Arial"/>
          <w:sz w:val="22"/>
          <w:szCs w:val="22"/>
        </w:rPr>
        <w:t xml:space="preserve">We use the TCGA HiSeqV2 pan-cancer RNA-Seq dataset — the most comprehensive publicly available multi-cancer molecular profiling resource. Our system is evaluated on held-out test samples and compared against prior published work, particularly Mostavi et al. (2020) and Ramirez et al. (2020).</w:t>
      </w:r>
    </w:p>
    <w:p>
      <w:pPr>
        <w:spacing w:after="40" w:before="40"/>
      </w:pPr>
      <w:r>
        <w:t xml:space="preserve"/>
      </w:r>
    </w:p>
    <w:p>
      <w:r>
        <w:br w:type="page"/>
      </w:r>
    </w:p>
    <w:p>
      <w:pPr>
        <w:pStyle w:val="Heading1"/>
        <w:spacing w:after="120" w:before="360"/>
      </w:pPr>
      <w:r>
        <w:rPr>
          <w:rFonts w:ascii="Arial" w:cs="Arial" w:eastAsia="Arial" w:hAnsi="Arial"/>
          <w:b/>
          <w:bCs/>
          <w:color w:val="1F4E79"/>
          <w:sz w:val="32"/>
          <w:szCs w:val="32"/>
        </w:rPr>
        <w:t xml:space="preserve">2. Background and Related Work</w:t>
      </w:r>
    </w:p>
    <w:p>
      <w:pPr>
        <w:pStyle w:val="Heading2"/>
        <w:spacing w:after="80" w:before="240"/>
      </w:pPr>
      <w:r>
        <w:rPr>
          <w:rFonts w:ascii="Arial" w:cs="Arial" w:eastAsia="Arial" w:hAnsi="Arial"/>
          <w:b/>
          <w:bCs/>
          <w:color w:val="2E75B6"/>
          <w:sz w:val="26"/>
          <w:szCs w:val="26"/>
        </w:rPr>
        <w:t xml:space="preserve">2.1 The Cancer Genome Atlas (TCGA)</w:t>
      </w:r>
    </w:p>
    <w:p>
      <w:pPr>
        <w:spacing w:after="80" w:before="80"/>
        <w:jc w:val="both"/>
      </w:pPr>
      <w:r>
        <w:rPr>
          <w:rFonts w:ascii="Arial" w:cs="Arial" w:eastAsia="Arial" w:hAnsi="Arial"/>
          <w:sz w:val="22"/>
          <w:szCs w:val="22"/>
        </w:rPr>
        <w:t xml:space="preserve">TCGA is a landmark NIH-funded program that molecularly characterized over 11,000 primary cancer samples across 33 cancer types. TCGA generated multi-omic data: RNA-Seq gene expression, DNA methylation, copy number variation, somatic mutations, and protein expression. The publicly available HiSeqV2 RNA-Seq dataset contains normalized gene expression values (RPKM) for 20,530 genes across 33 cancer types, providing a standardized benchmark for computational cancer research.</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2.2 Mostavi et al. (2020) — The Primary Benchmark</w:t>
      </w:r>
    </w:p>
    <w:p>
      <w:pPr>
        <w:spacing w:after="80" w:before="80"/>
        <w:jc w:val="both"/>
      </w:pPr>
      <w:r>
        <w:rPr>
          <w:rFonts w:ascii="Arial" w:cs="Arial" w:eastAsia="Arial" w:hAnsi="Arial"/>
          <w:sz w:val="22"/>
          <w:szCs w:val="22"/>
        </w:rPr>
        <w:t xml:space="preserve">Mostavi et al. published "Convolutional neural network models for cancer type prediction based on gene expression" — a CNN-based approach to pan-cancer classification using the same TCGA dataset. Their key contributions were:</w:t>
      </w:r>
    </w:p>
    <w:p>
      <w:pPr>
        <w:pStyle w:val="ListParagraph"/>
        <w:numPr>
          <w:ilvl w:val="0"/>
          <w:numId w:val="2"/>
        </w:numPr>
        <w:spacing w:after="60" w:before="60"/>
      </w:pPr>
      <w:r>
        <w:rPr>
          <w:rFonts w:ascii="Arial" w:cs="Arial" w:eastAsia="Arial" w:hAnsi="Arial"/>
          <w:sz w:val="22"/>
          <w:szCs w:val="22"/>
        </w:rPr>
        <w:t xml:space="preserve">Demonstrated that CNNs outperform traditional ML (SVM, random forest) for pan-cancer classification.</w:t>
      </w:r>
    </w:p>
    <w:p>
      <w:pPr>
        <w:pStyle w:val="ListParagraph"/>
        <w:numPr>
          <w:ilvl w:val="0"/>
          <w:numId w:val="2"/>
        </w:numPr>
        <w:spacing w:after="60" w:before="60"/>
      </w:pPr>
      <w:r>
        <w:rPr>
          <w:rFonts w:ascii="Arial" w:cs="Arial" w:eastAsia="Arial" w:hAnsi="Arial"/>
          <w:sz w:val="22"/>
          <w:szCs w:val="22"/>
        </w:rPr>
        <w:t xml:space="preserve">Showed that CNNs identify known cancer biomarkers in their learned representations.</w:t>
      </w:r>
    </w:p>
    <w:p>
      <w:pPr>
        <w:pStyle w:val="ListParagraph"/>
        <w:numPr>
          <w:ilvl w:val="0"/>
          <w:numId w:val="2"/>
        </w:numPr>
        <w:spacing w:after="60" w:before="60"/>
      </w:pPr>
      <w:r>
        <w:rPr>
          <w:rFonts w:ascii="Arial" w:cs="Arial" w:eastAsia="Arial" w:hAnsi="Arial"/>
          <w:sz w:val="22"/>
          <w:szCs w:val="22"/>
        </w:rPr>
        <w:t xml:space="preserve">Reported per-cancer F1-scores, highlighting a critical failure: READ (rectum adenocarcinoma) was classified with F1 = 0.40, far below all other cancer types.</w:t>
      </w:r>
    </w:p>
    <w:p>
      <w:pPr>
        <w:spacing w:after="80" w:before="80"/>
        <w:jc w:val="both"/>
      </w:pPr>
      <w:r>
        <w:rPr>
          <w:rFonts w:ascii="Arial" w:cs="Arial" w:eastAsia="Arial" w:hAnsi="Arial"/>
          <w:sz w:val="22"/>
          <w:szCs w:val="22"/>
        </w:rPr>
        <w:t xml:space="preserve">Mostavi's work is the primary baseline against which we compare our improvements. Their single-model CNN did not use ensemble methods, TTA, or class merging strategies.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2.3 Ramirez et al. (2020) — Graph Convolutional Network Approach</w:t>
      </w:r>
    </w:p>
    <w:p>
      <w:pPr>
        <w:spacing w:after="80" w:before="80"/>
        <w:jc w:val="both"/>
      </w:pPr>
      <w:r>
        <w:rPr>
          <w:rFonts w:ascii="Arial" w:cs="Arial" w:eastAsia="Arial" w:hAnsi="Arial"/>
          <w:sz w:val="22"/>
          <w:szCs w:val="22"/>
        </w:rPr>
        <w:t xml:space="preserve">Ramirez et al. employed a Graph Convolutional Neural Network (GCNN) that incorporates protein-protein interaction (PPI) network structure alongside gene expression. Their graph-based approach allows the model to leverage known biological relationships between genes. Despite this added biological prior, their model also exhibited confusion between READ and COAD, validating the claim that this confusion is a genuine biological signal rather than a modeling artifact.</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2.4 The READ/COAD Problem</w:t>
      </w:r>
    </w:p>
    <w:p>
      <w:pPr>
        <w:spacing w:after="80" w:before="80"/>
        <w:jc w:val="both"/>
      </w:pPr>
      <w:r>
        <w:rPr>
          <w:rFonts w:ascii="Arial" w:cs="Arial" w:eastAsia="Arial" w:hAnsi="Arial"/>
          <w:sz w:val="22"/>
          <w:szCs w:val="22"/>
        </w:rPr>
        <w:t xml:space="preserve">Rectum adenocarcinoma (READ) and colon adenocarcinoma (COAD) are both colorectal cancers arising from the same colorectal epithelial tissue. A 2018 TCGA Pan-Cancer study (Hoadley et al.) demonstrated that READ and COAD form a single molecular cluster at the gene expression level — there is no meaningful transcriptomic boundary between them. Clinically, they are staged and treated as a unified colorectal cancer entity. The TCGA originally labeled them separately for anatomical completeness, but this creates an artificial classification boundary that confuses all models. Our key design decision — merging READ into COAD — is directly motivated by this biological reality.</w:t>
      </w:r>
    </w:p>
    <w:p>
      <w:pPr>
        <w:spacing w:after="40" w:before="40"/>
      </w:pPr>
      <w:r>
        <w:t xml:space="preserve"/>
      </w:r>
    </w:p>
    <w:p>
      <w:r>
        <w:br w:type="page"/>
      </w:r>
    </w:p>
    <w:p>
      <w:pPr>
        <w:pStyle w:val="Heading1"/>
        <w:spacing w:after="120" w:before="360"/>
      </w:pPr>
      <w:r>
        <w:rPr>
          <w:rFonts w:ascii="Arial" w:cs="Arial" w:eastAsia="Arial" w:hAnsi="Arial"/>
          <w:b/>
          <w:bCs/>
          <w:color w:val="1F4E79"/>
          <w:sz w:val="32"/>
          <w:szCs w:val="32"/>
        </w:rPr>
        <w:t xml:space="preserve">3. Dataset and Preprocessing</w:t>
      </w:r>
    </w:p>
    <w:p>
      <w:pPr>
        <w:pStyle w:val="Heading2"/>
        <w:spacing w:after="80" w:before="240"/>
      </w:pPr>
      <w:r>
        <w:rPr>
          <w:rFonts w:ascii="Arial" w:cs="Arial" w:eastAsia="Arial" w:hAnsi="Arial"/>
          <w:b/>
          <w:bCs/>
          <w:color w:val="2E75B6"/>
          <w:sz w:val="26"/>
          <w:szCs w:val="26"/>
        </w:rPr>
        <w:t xml:space="preserve">3.1 Dataset Overview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TCGA HiSeqV2 RNA-Seq (UCSC Xena Hub)</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Samples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10,459 patient tumor samples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20,530 gene expression values per sample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Original Cancer Types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33 (including READ and COAD separately)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Classes Used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(READ merged into COAD)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Expression Units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Log2(RPKM + 1) normalized</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3.2 The 32 Cancer Types</w:t>
      </w:r>
    </w:p>
    <w:p>
      <w:pPr>
        <w:spacing w:after="80" w:before="80"/>
        <w:jc w:val="both"/>
      </w:pPr>
      <w:r>
        <w:rPr>
          <w:rFonts w:ascii="Arial" w:cs="Arial" w:eastAsia="Arial" w:hAnsi="Arial"/>
          <w:sz w:val="22"/>
          <w:szCs w:val="22"/>
        </w:rPr>
        <w:t xml:space="preserve">After merging READ into COAD, the dataset covers 32 cancer types spanning major organ systems: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240"/>
        <w:gridCol w:w="1560"/>
        <w:gridCol w:w="30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Abbreviation</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Abbreviation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BRCA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Breast Invasive Carcinoma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KIRC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Kidney Renal Clear Cell Carcinoma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LUAD</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Lung Adenocarcinoma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KIRP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Kidney Renal Papillary Cell Carcinoma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LUSC</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Lung Squamous Cell Carcinoma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Kidney Chromophobe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CRC (COAD+READ)</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Colorectal Adenocarcinoma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LAML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Acute Myeloid Leukemia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Prostate Adenocarcinoma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DLBC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Diffuse Large B-cell Lymphoma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GBM</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Glioblastoma Multiforme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THCA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Thyroid Carcinoma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LGG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Grade Glioma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PCPG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Pheochromocytoma &amp; Paraganglioma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SKCM</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Skin Cutaneous Melanoma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TGCT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Testicular Germ Cell Tumors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PAAD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Pancreatic Adenocarcinoma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Uterine Carcinosarcoma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STAD</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Stomach Adenocarcinoma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UCEC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Uterine Corpus Endometrial Carcinoma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LIHC</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Liver Hepatocellular Carcinoma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Mesothelioma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BLCA</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Bladder Urothelial Carcinoma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Adrenocortical Carcinoma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CESC</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Cervical Squamous Cell Carcinoma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Cholangiocarcinoma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ESCA</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Esophageal Carcinoma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SARC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Sarcoma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HNSC</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 &amp; Neck Squamous Cell Carcinoma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THYM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Thymoma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UVM</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Uveal Melanoma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Ovarian Serous Cystadenocarcinoma</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3.3 READ to COAD Merge — Scientific Justification</w:t>
      </w:r>
    </w:p>
    <w:p>
      <w:pPr>
        <w:spacing w:after="80" w:before="80"/>
        <w:jc w:val="both"/>
      </w:pPr>
      <w:r>
        <w:rPr>
          <w:rFonts w:ascii="Arial" w:cs="Arial" w:eastAsia="Arial" w:hAnsi="Arial"/>
          <w:sz w:val="22"/>
          <w:szCs w:val="22"/>
        </w:rPr>
        <w:t xml:space="preserve">This is one of the most important design decisions in our work. Rather than treating READ and COAD as separate classes — as done in the original TCGA labeling — we merge them into a single "Colorectal Adenocarcinoma" (CRC) class. The justification is multi-layered:</w:t>
      </w:r>
    </w:p>
    <w:p>
      <w:pPr>
        <w:pStyle w:val="ListParagraph"/>
        <w:numPr>
          <w:ilvl w:val="0"/>
          <w:numId w:val="2"/>
        </w:numPr>
        <w:spacing w:after="60" w:before="60"/>
      </w:pPr>
      <w:r>
        <w:rPr>
          <w:rFonts w:ascii="Arial" w:cs="Arial" w:eastAsia="Arial" w:hAnsi="Arial"/>
          <w:sz w:val="22"/>
          <w:szCs w:val="22"/>
        </w:rPr>
        <w:t xml:space="preserve">Molecular: Hoadley et al. (2018) TCGA Pan-Cancer analysis shows READ and COAD are indistinguishable at the transcriptomic level; both cluster together in all pan-cancer molecular analyses.</w:t>
      </w:r>
    </w:p>
    <w:p>
      <w:pPr>
        <w:pStyle w:val="ListParagraph"/>
        <w:numPr>
          <w:ilvl w:val="0"/>
          <w:numId w:val="2"/>
        </w:numPr>
        <w:spacing w:after="60" w:before="60"/>
      </w:pPr>
      <w:r>
        <w:rPr>
          <w:rFonts w:ascii="Arial" w:cs="Arial" w:eastAsia="Arial" w:hAnsi="Arial"/>
          <w:sz w:val="22"/>
          <w:szCs w:val="22"/>
        </w:rPr>
        <w:t xml:space="preserve">Clinical: The NCCN and oncology staging systems treat colon and rectal cancers as a unified colorectal entity for chemotherapy (FOLFOX, FOLFIRI), targeted therapy (bevacizumab, cetuximab), and staging (TNM system).</w:t>
      </w:r>
    </w:p>
    <w:p>
      <w:pPr>
        <w:pStyle w:val="ListParagraph"/>
        <w:numPr>
          <w:ilvl w:val="0"/>
          <w:numId w:val="2"/>
        </w:numPr>
        <w:spacing w:after="60" w:before="60"/>
      </w:pPr>
      <w:r>
        <w:rPr>
          <w:rFonts w:ascii="Arial" w:cs="Arial" w:eastAsia="Arial" w:hAnsi="Arial"/>
          <w:sz w:val="22"/>
          <w:szCs w:val="22"/>
        </w:rPr>
        <w:t xml:space="preserve">Empirical: Mostavi et al. report F1 = 0.40 for READ — the single worst-performing class. Ramirez et al. show the same confusion pattern. This is not a modeling failure; it is a biological signal that the two labels do not represent truly distinct transcriptomic categories.</w:t>
      </w:r>
    </w:p>
    <w:p>
      <w:pPr>
        <w:pStyle w:val="ListParagraph"/>
        <w:numPr>
          <w:ilvl w:val="0"/>
          <w:numId w:val="2"/>
        </w:numPr>
        <w:spacing w:after="60" w:before="60"/>
      </w:pPr>
      <w:r>
        <w:rPr>
          <w:rFonts w:ascii="Arial" w:cs="Arial" w:eastAsia="Arial" w:hAnsi="Arial"/>
          <w:sz w:val="22"/>
          <w:szCs w:val="22"/>
        </w:rPr>
        <w:t xml:space="preserve">Impact: After merging, our CRC class achieves F1 = 0.9924, demonstrating that eliminating this artificial boundary dramatically improves performance.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3.4 Data Preprocessing Pipeline</w:t>
      </w:r>
    </w:p>
    <w:p>
      <w:pPr>
        <w:spacing w:after="80" w:before="80"/>
      </w:pPr>
      <w:r>
        <w:rPr>
          <w:rFonts w:ascii="Arial" w:cs="Arial" w:eastAsia="Arial" w:hAnsi="Arial"/>
          <w:b/>
          <w:bCs/>
          <w:sz w:val="22"/>
          <w:szCs w:val="22"/>
        </w:rPr>
        <w:t xml:space="preserve">Step 1 — Raw Data Loading: </w:t>
      </w:r>
      <w:r>
        <w:rPr>
          <w:rFonts w:ascii="Arial" w:cs="Arial" w:eastAsia="Arial" w:hAnsi="Arial"/>
          <w:sz w:val="22"/>
          <w:szCs w:val="22"/>
        </w:rPr>
        <w:t xml:space="preserve">HiSeqV2 TSV data downloaded from UCSC Xena Hub. Gene expression values (RPKM) are stored alongside sample metadata (TCGA barcodes, cancer type labels).</w:t>
      </w:r>
    </w:p>
    <w:p>
      <w:pPr>
        <w:spacing w:after="80" w:before="80"/>
      </w:pPr>
      <w:r>
        <w:rPr>
          <w:rFonts w:ascii="Arial" w:cs="Arial" w:eastAsia="Arial" w:hAnsi="Arial"/>
          <w:b/>
          <w:bCs/>
          <w:sz w:val="22"/>
          <w:szCs w:val="22"/>
        </w:rPr>
        <w:t xml:space="preserve">Step 2 — HDF5 Storage: </w:t>
      </w:r>
      <w:r>
        <w:rPr>
          <w:rFonts w:ascii="Arial" w:cs="Arial" w:eastAsia="Arial" w:hAnsi="Arial"/>
          <w:sz w:val="22"/>
          <w:szCs w:val="22"/>
        </w:rPr>
        <w:t xml:space="preserve">Data is stored in an HDF5 database (data.h5) for efficient random access. HDF5 handles the large feature matrix (10,459 × 20,530) better than CSV for ML workflows.</w:t>
      </w:r>
    </w:p>
    <w:p>
      <w:pPr>
        <w:spacing w:after="80" w:before="80"/>
      </w:pPr>
      <w:r>
        <w:rPr>
          <w:rFonts w:ascii="Arial" w:cs="Arial" w:eastAsia="Arial" w:hAnsi="Arial"/>
          <w:b/>
          <w:bCs/>
          <w:sz w:val="22"/>
          <w:szCs w:val="22"/>
        </w:rPr>
        <w:t xml:space="preserve">Step 3 — Log2 Normalization: </w:t>
      </w:r>
      <w:r>
        <w:rPr>
          <w:rFonts w:ascii="Arial" w:cs="Arial" w:eastAsia="Arial" w:hAnsi="Arial"/>
          <w:sz w:val="22"/>
          <w:szCs w:val="22"/>
        </w:rPr>
        <w:t xml:space="preserve">Expression values are transformed as log2(expression + 1). This is standard practice because RNA-Seq values are right-skewed across several orders of magnitude; log transformation brings the distribution closer to normal and prevents highly expressed genes from dominating the model.</w:t>
      </w:r>
    </w:p>
    <w:p>
      <w:pPr>
        <w:spacing w:after="80" w:before="80"/>
      </w:pPr>
      <w:r>
        <w:rPr>
          <w:rFonts w:ascii="Arial" w:cs="Arial" w:eastAsia="Arial" w:hAnsi="Arial"/>
          <w:b/>
          <w:bCs/>
          <w:sz w:val="22"/>
          <w:szCs w:val="22"/>
        </w:rPr>
        <w:t xml:space="preserve">Step 4 — Standard Scaling: </w:t>
      </w:r>
      <w:r>
        <w:rPr>
          <w:rFonts w:ascii="Arial" w:cs="Arial" w:eastAsia="Arial" w:hAnsi="Arial"/>
          <w:sz w:val="22"/>
          <w:szCs w:val="22"/>
        </w:rPr>
        <w:t xml:space="preserve">After log2 normalization, features are standardized using StandardScaler (zero mean, unit variance). This ensures all genes contribute equally in the initial training steps regardless of their absolute expression range.</w:t>
      </w:r>
    </w:p>
    <w:p>
      <w:pPr>
        <w:spacing w:after="80" w:before="80"/>
      </w:pPr>
      <w:r>
        <w:rPr>
          <w:rFonts w:ascii="Arial" w:cs="Arial" w:eastAsia="Arial" w:hAnsi="Arial"/>
          <w:b/>
          <w:bCs/>
          <w:sz w:val="22"/>
          <w:szCs w:val="22"/>
        </w:rPr>
        <w:t xml:space="preserve">Step 5 — Stratified Train/Validation/Test Split: </w:t>
      </w:r>
      <w:r>
        <w:rPr>
          <w:rFonts w:ascii="Arial" w:cs="Arial" w:eastAsia="Arial" w:hAnsi="Arial"/>
          <w:sz w:val="22"/>
          <w:szCs w:val="22"/>
        </w:rPr>
        <w:t xml:space="preserve">The dataset is split 70% train / 15% validation / 15% test using stratified sampling. Stratification ensures each split contains the same class proportions as the full dataset, which is critical for imbalanced multi-class data.</w:t>
      </w:r>
    </w:p>
    <w:p>
      <w:pPr>
        <w:spacing w:after="80" w:before="80"/>
      </w:pPr>
      <w:r>
        <w:rPr>
          <w:rFonts w:ascii="Arial" w:cs="Arial" w:eastAsia="Arial" w:hAnsi="Arial"/>
          <w:b/>
          <w:bCs/>
          <w:sz w:val="22"/>
          <w:szCs w:val="22"/>
        </w:rPr>
        <w:t xml:space="preserve">Step 6 — SMOTE: </w:t>
      </w:r>
      <w:r>
        <w:rPr>
          <w:rFonts w:ascii="Arial" w:cs="Arial" w:eastAsia="Arial" w:hAnsi="Arial"/>
          <w:sz w:val="22"/>
          <w:szCs w:val="22"/>
        </w:rPr>
        <w:t xml:space="preserve">Synthetic Minority Oversampling Technique (SMOTE) is applied to training data only. Classes with fewer than 400 samples are oversampled to 400 samples using k=3 nearest neighbor interpolation. This prevents the model from ignoring rare cancer types.</w:t>
      </w:r>
    </w:p>
    <w:p>
      <w:pPr>
        <w:spacing w:after="40" w:before="40"/>
      </w:pPr>
      <w:r>
        <w:t xml:space="preserve"/>
      </w:r>
    </w:p>
    <w:p>
      <w:r>
        <w:br w:type="page"/>
      </w:r>
    </w:p>
    <w:p>
      <w:pPr>
        <w:pStyle w:val="Heading1"/>
        <w:spacing w:after="120" w:before="360"/>
      </w:pPr>
      <w:r>
        <w:rPr>
          <w:rFonts w:ascii="Arial" w:cs="Arial" w:eastAsia="Arial" w:hAnsi="Arial"/>
          <w:b/>
          <w:bCs/>
          <w:color w:val="1F4E79"/>
          <w:sz w:val="32"/>
          <w:szCs w:val="32"/>
        </w:rPr>
        <w:t xml:space="preserve">4. Model Architecture</w:t>
      </w:r>
    </w:p>
    <w:p>
      <w:pPr>
        <w:pStyle w:val="Heading2"/>
        <w:spacing w:after="80" w:before="240"/>
      </w:pPr>
      <w:r>
        <w:rPr>
          <w:rFonts w:ascii="Arial" w:cs="Arial" w:eastAsia="Arial" w:hAnsi="Arial"/>
          <w:b/>
          <w:bCs/>
          <w:color w:val="2E75B6"/>
          <w:sz w:val="26"/>
          <w:szCs w:val="26"/>
        </w:rPr>
        <w:t xml:space="preserve">4.1 Why 1D-CNN for Gene Expression?</w:t>
      </w:r>
    </w:p>
    <w:p>
      <w:pPr>
        <w:spacing w:after="80" w:before="80"/>
        <w:jc w:val="both"/>
      </w:pPr>
      <w:r>
        <w:rPr>
          <w:rFonts w:ascii="Arial" w:cs="Arial" w:eastAsia="Arial" w:hAnsi="Arial"/>
          <w:sz w:val="22"/>
          <w:szCs w:val="22"/>
        </w:rPr>
        <w:t xml:space="preserve">Gene expression data is a 1D array of 20,530 values — one per gene. A 1D Convolutional Neural Network is well-suited because:</w:t>
      </w:r>
    </w:p>
    <w:p>
      <w:pPr>
        <w:pStyle w:val="ListParagraph"/>
        <w:numPr>
          <w:ilvl w:val="0"/>
          <w:numId w:val="2"/>
        </w:numPr>
        <w:spacing w:after="60" w:before="60"/>
      </w:pPr>
      <w:r>
        <w:rPr>
          <w:rFonts w:ascii="Arial" w:cs="Arial" w:eastAsia="Arial" w:hAnsi="Arial"/>
          <w:sz w:val="22"/>
          <w:szCs w:val="22"/>
        </w:rPr>
        <w:t xml:space="preserve">Local patterns: CNNs detect local patterns in their input. For gene expression, nearby genes on the genome often co-regulate (synteny), so local filters capture biologically meaningful co-expression patterns.</w:t>
      </w:r>
    </w:p>
    <w:p>
      <w:pPr>
        <w:pStyle w:val="ListParagraph"/>
        <w:numPr>
          <w:ilvl w:val="0"/>
          <w:numId w:val="2"/>
        </w:numPr>
        <w:spacing w:after="60" w:before="60"/>
      </w:pPr>
      <w:r>
        <w:rPr>
          <w:rFonts w:ascii="Arial" w:cs="Arial" w:eastAsia="Arial" w:hAnsi="Arial"/>
          <w:sz w:val="22"/>
          <w:szCs w:val="22"/>
        </w:rPr>
        <w:t xml:space="preserve">Parameter efficiency: Compared to fully connected networks, CNNs share weights across positions, dramatically reducing parameters while maintaining expressiveness for 20,530-dimensional inputs.</w:t>
      </w:r>
    </w:p>
    <w:p>
      <w:pPr>
        <w:pStyle w:val="ListParagraph"/>
        <w:numPr>
          <w:ilvl w:val="0"/>
          <w:numId w:val="2"/>
        </w:numPr>
        <w:spacing w:after="60" w:before="60"/>
      </w:pPr>
      <w:r>
        <w:rPr>
          <w:rFonts w:ascii="Arial" w:cs="Arial" w:eastAsia="Arial" w:hAnsi="Arial"/>
          <w:sz w:val="22"/>
          <w:szCs w:val="22"/>
        </w:rPr>
        <w:t xml:space="preserve">Translation invariance: The position of an expressed gene signature may shift slightly across samples; convolution with pooling is robust to such shifts.</w:t>
      </w:r>
    </w:p>
    <w:p>
      <w:pPr>
        <w:pStyle w:val="ListParagraph"/>
        <w:numPr>
          <w:ilvl w:val="0"/>
          <w:numId w:val="2"/>
        </w:numPr>
        <w:spacing w:after="60" w:before="60"/>
      </w:pPr>
      <w:r>
        <w:rPr>
          <w:rFonts w:ascii="Arial" w:cs="Arial" w:eastAsia="Arial" w:hAnsi="Arial"/>
          <w:sz w:val="22"/>
          <w:szCs w:val="22"/>
        </w:rPr>
        <w:t xml:space="preserve">Prior success: Mostavi et al. demonstrated CNNs outperform SVM and random forests on this exact dataset, validating the architectural choice.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4.2 Architecture Details</w:t>
      </w:r>
    </w:p>
    <w:p>
      <w:pPr>
        <w:spacing w:after="80" w:before="80"/>
        <w:jc w:val="both"/>
      </w:pPr>
      <w:r>
        <w:rPr>
          <w:rFonts w:ascii="Arial" w:cs="Arial" w:eastAsia="Arial" w:hAnsi="Arial"/>
          <w:sz w:val="22"/>
          <w:szCs w:val="22"/>
        </w:rPr>
        <w:t xml:space="preserve">The model consists of four convolutional blocks, each followed by a Squeeze-Excitation (SE) module, and a three-layer classification head.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800"/>
        <w:gridCol w:w="18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 / Block</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 Shape</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 expression vector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1, 20530)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 Block 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Conv1d(1→64, k=7, pad=3) + BN + ReLU + MaxPool(4)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(batch, 64, 5132)</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Block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AvgPool → FC(64→4) → ReLU → FC(4→64) → Sigmoid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64, 5132)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~548</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 Block 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Conv1d(64→128, k=5, pad=2) + BN + ReLU + MaxPool(4)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(batch, 128, 1283)</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~41,088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Block 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AvgPool → FC(128→8) → ReLU → FC(8→128) → Sigmoid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128, 1283)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~2,176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 Block 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Conv1d(128→256, k=3, pad=1) + BN + ReLU + MaxPool(2)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(batch, 256, 641)</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~98,816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Block 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AvgPool → FC(256→16) → ReLU → FC(16→256) → Sigmoid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256, 641)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~8,448</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 Block 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Conv1d(256→512, k=3, pad=1) + BN + ReLU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(batch, 512, 641)</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~393,728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Block 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AvgPool → FC(512→32) → ReLU → FC(32→512) → Sigmoid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512, 641)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~33,280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Global Pooling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AdaptiveAvgPool + AdaptiveMaxPool → concat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(batch, 1024)</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 Layer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Linear(1024→512) + ReLU + Dropout(0.5)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512)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~524,800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FC Layer 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Linear(512→256) + ReLU + Dropout(0.3)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(batch, 256)</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~131,328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Linear(256→32)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32)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~8,224</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4.3 Squeeze-Excitation (SE) Blocks</w:t>
      </w:r>
    </w:p>
    <w:p>
      <w:pPr>
        <w:spacing w:after="80" w:before="80"/>
        <w:jc w:val="both"/>
      </w:pPr>
      <w:r>
        <w:rPr>
          <w:rFonts w:ascii="Arial" w:cs="Arial" w:eastAsia="Arial" w:hAnsi="Arial"/>
          <w:sz w:val="22"/>
          <w:szCs w:val="22"/>
        </w:rPr>
        <w:t xml:space="preserve">SE blocks are a form of channel-wise attention. After each convolutional layer, the SE block:</w:t>
      </w:r>
    </w:p>
    <w:p>
      <w:pPr>
        <w:pStyle w:val="ListParagraph"/>
        <w:numPr>
          <w:ilvl w:val="0"/>
          <w:numId w:val="3"/>
        </w:numPr>
        <w:spacing w:after="60" w:before="60"/>
      </w:pPr>
      <w:r>
        <w:rPr>
          <w:rFonts w:ascii="Arial" w:cs="Arial" w:eastAsia="Arial" w:hAnsi="Arial"/>
          <w:sz w:val="22"/>
          <w:szCs w:val="22"/>
        </w:rPr>
        <w:t xml:space="preserve">Squeezes: Global average pools each channel to a single scalar, producing a channel descriptor vector.</w:t>
      </w:r>
    </w:p>
    <w:p>
      <w:pPr>
        <w:pStyle w:val="ListParagraph"/>
        <w:numPr>
          <w:ilvl w:val="0"/>
          <w:numId w:val="3"/>
        </w:numPr>
        <w:spacing w:after="60" w:before="60"/>
      </w:pPr>
      <w:r>
        <w:rPr>
          <w:rFonts w:ascii="Arial" w:cs="Arial" w:eastAsia="Arial" w:hAnsi="Arial"/>
          <w:sz w:val="22"/>
          <w:szCs w:val="22"/>
        </w:rPr>
        <w:t xml:space="preserve">Excites: Passes the descriptor through two fully connected layers (with dimensionality reduction ratio = 16) and a Sigmoid activation to produce a per-channel attention weight between 0 and 1.</w:t>
      </w:r>
    </w:p>
    <w:p>
      <w:pPr>
        <w:pStyle w:val="ListParagraph"/>
        <w:numPr>
          <w:ilvl w:val="0"/>
          <w:numId w:val="3"/>
        </w:numPr>
        <w:spacing w:after="60" w:before="60"/>
      </w:pPr>
      <w:r>
        <w:rPr>
          <w:rFonts w:ascii="Arial" w:cs="Arial" w:eastAsia="Arial" w:hAnsi="Arial"/>
          <w:sz w:val="22"/>
          <w:szCs w:val="22"/>
        </w:rPr>
        <w:t xml:space="preserve">Scales: Multiplies each channel's feature map by its attention weight.</w:t>
      </w:r>
    </w:p>
    <w:p>
      <w:pPr>
        <w:spacing w:after="80" w:before="80"/>
        <w:jc w:val="both"/>
      </w:pPr>
      <w:r>
        <w:rPr>
          <w:rFonts w:ascii="Arial" w:cs="Arial" w:eastAsia="Arial" w:hAnsi="Arial"/>
          <w:sz w:val="22"/>
          <w:szCs w:val="22"/>
        </w:rPr>
        <w:t xml:space="preserve">This allows the model to selectively amplify channels (gene groups) most informative for classification and suppress less relevant ones. SE blocks were introduced by Hu et al. (2018) and have consistently improved CNN performance with minimal parameter overhead.</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4.4 Dual Global Pooling</w:t>
      </w:r>
    </w:p>
    <w:p>
      <w:pPr>
        <w:spacing w:after="80" w:before="80"/>
        <w:jc w:val="both"/>
      </w:pPr>
      <w:r>
        <w:rPr>
          <w:rFonts w:ascii="Arial" w:cs="Arial" w:eastAsia="Arial" w:hAnsi="Arial"/>
          <w:sz w:val="22"/>
          <w:szCs w:val="22"/>
        </w:rPr>
        <w:t xml:space="preserve">After the final convolutional block, we apply both AdaptiveAvgPool1d and AdaptiveMaxPool1d and concatenate their outputs into a 1024-dimensional vector. Average pooling captures the overall expression level across the sequence, while max pooling captures the strongest activation (peak expression signature). Combining both gives the classification head richer information than either alone.</w:t>
      </w:r>
    </w:p>
    <w:p>
      <w:pPr>
        <w:spacing w:after="40" w:before="40"/>
      </w:pPr>
      <w:r>
        <w:t xml:space="preserve"/>
      </w:r>
    </w:p>
    <w:p>
      <w:r>
        <w:br w:type="page"/>
      </w:r>
    </w:p>
    <w:p>
      <w:pPr>
        <w:pStyle w:val="Heading1"/>
        <w:spacing w:after="120" w:before="360"/>
      </w:pPr>
      <w:r>
        <w:rPr>
          <w:rFonts w:ascii="Arial" w:cs="Arial" w:eastAsia="Arial" w:hAnsi="Arial"/>
          <w:b/>
          <w:bCs/>
          <w:color w:val="1F4E79"/>
          <w:sz w:val="32"/>
          <w:szCs w:val="32"/>
        </w:rPr>
        <w:t xml:space="preserve">5. Training Strategy</w:t>
      </w:r>
    </w:p>
    <w:p>
      <w:pPr>
        <w:pStyle w:val="Heading2"/>
        <w:spacing w:after="80" w:before="240"/>
      </w:pPr>
      <w:r>
        <w:rPr>
          <w:rFonts w:ascii="Arial" w:cs="Arial" w:eastAsia="Arial" w:hAnsi="Arial"/>
          <w:b/>
          <w:bCs/>
          <w:color w:val="2E75B6"/>
          <w:sz w:val="26"/>
          <w:szCs w:val="26"/>
        </w:rPr>
        <w:t xml:space="preserve">5.1 Training Configuration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5060"/>
      </w:tblGrid>
      <w:tr>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Optimizer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AdamW</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Adam with decoupled weight decay; better generalization than Adam for overparameterized models</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 Rate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1e-3 (initial)</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 starting LR for AdamW on this scale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 Decay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1e-4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L2 regularization to prevent overfitting on 20K features</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Batch Size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256</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Large enough for stable gradient estimates; fits in GPU memory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Epochs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early stopping to prevent overfitting</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Early Stopping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Patience = 40 epochs</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Stops training if validation loss does not improve for 40 consecutive epochs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 Scheduler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CosineAnnealingWarmRestarts (T0=40, Tmult=2)</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Cyclically reduces LR to escape local minima; warm restarts increase ensemble diversity</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Loss Function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Cross-Entropy with Label Smoothing (0.1)</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Applied to MixUp soft targets; prevents overconfidence</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5.2 MixUp Augmentation</w:t>
      </w:r>
    </w:p>
    <w:p>
      <w:pPr>
        <w:spacing w:after="80" w:before="80"/>
        <w:jc w:val="both"/>
      </w:pPr>
      <w:r>
        <w:rPr>
          <w:rFonts w:ascii="Arial" w:cs="Arial" w:eastAsia="Arial" w:hAnsi="Arial"/>
          <w:sz w:val="22"/>
          <w:szCs w:val="22"/>
        </w:rPr>
        <w:t xml:space="preserve">MixUp (Zhang et al., 2018) is an interpolation-based augmentation technique. For each training batch, two samples (xi, yi) and (xj, yj) are randomly selected and blended:</w:t>
      </w:r>
    </w:p>
    <w:p>
      <w:pPr>
        <w:spacing w:after="120" w:before="120"/>
        <w:jc w:val="center"/>
      </w:pPr>
      <w:r>
        <w:rPr>
          <w:rFonts w:ascii="Courier New" w:cs="Courier New" w:eastAsia="Courier New" w:hAnsi="Courier New"/>
          <w:b/>
          <w:bCs/>
          <w:sz w:val="22"/>
          <w:szCs w:val="22"/>
        </w:rPr>
        <w:t xml:space="preserve">x_mixed = λ·xi + (1-λ)·xj     y_mixed = λ·yi + (1-λ)·yj</w:t>
      </w:r>
    </w:p>
    <w:p>
      <w:pPr>
        <w:spacing w:after="80" w:before="80"/>
        <w:jc w:val="both"/>
      </w:pPr>
      <w:r>
        <w:rPr>
          <w:rFonts w:ascii="Arial" w:cs="Arial" w:eastAsia="Arial" w:hAnsi="Arial"/>
          <w:sz w:val="22"/>
          <w:szCs w:val="22"/>
        </w:rPr>
        <w:t xml:space="preserve">where λ ~ Beta(0.2, 0.2). The model learns from interpolated samples and their mixed labels (soft targets), which:</w:t>
      </w:r>
    </w:p>
    <w:p>
      <w:pPr>
        <w:pStyle w:val="ListParagraph"/>
        <w:numPr>
          <w:ilvl w:val="0"/>
          <w:numId w:val="2"/>
        </w:numPr>
        <w:spacing w:after="60" w:before="60"/>
      </w:pPr>
      <w:r>
        <w:rPr>
          <w:rFonts w:ascii="Arial" w:cs="Arial" w:eastAsia="Arial" w:hAnsi="Arial"/>
          <w:sz w:val="22"/>
          <w:szCs w:val="22"/>
        </w:rPr>
        <w:t xml:space="preserve">Reduces overfitting by preventing the model from memorizing specific training samples.</w:t>
      </w:r>
    </w:p>
    <w:p>
      <w:pPr>
        <w:pStyle w:val="ListParagraph"/>
        <w:numPr>
          <w:ilvl w:val="0"/>
          <w:numId w:val="2"/>
        </w:numPr>
        <w:spacing w:after="60" w:before="60"/>
      </w:pPr>
      <w:r>
        <w:rPr>
          <w:rFonts w:ascii="Arial" w:cs="Arial" w:eastAsia="Arial" w:hAnsi="Arial"/>
          <w:sz w:val="22"/>
          <w:szCs w:val="22"/>
        </w:rPr>
        <w:t xml:space="preserve">Improves calibration — the model learns to be less overconfident because labels are never exactly 0 or 1.</w:t>
      </w:r>
    </w:p>
    <w:p>
      <w:pPr>
        <w:pStyle w:val="ListParagraph"/>
        <w:numPr>
          <w:ilvl w:val="0"/>
          <w:numId w:val="2"/>
        </w:numPr>
        <w:spacing w:after="60" w:before="60"/>
      </w:pPr>
      <w:r>
        <w:rPr>
          <w:rFonts w:ascii="Arial" w:cs="Arial" w:eastAsia="Arial" w:hAnsi="Arial"/>
          <w:sz w:val="22"/>
          <w:szCs w:val="22"/>
        </w:rPr>
        <w:t xml:space="preserve">Acts as a data augmentation technique, effectively expanding the training distribution.</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5.3 Gaussian Noise Augmentation</w:t>
      </w:r>
    </w:p>
    <w:p>
      <w:pPr>
        <w:spacing w:after="80" w:before="80"/>
        <w:jc w:val="both"/>
      </w:pPr>
      <w:r>
        <w:rPr>
          <w:rFonts w:ascii="Arial" w:cs="Arial" w:eastAsia="Arial" w:hAnsi="Arial"/>
          <w:sz w:val="22"/>
          <w:szCs w:val="22"/>
        </w:rPr>
        <w:t xml:space="preserve">During training, Gaussian noise (σ = 0.05) is added to input gene expression vectors. This simulates biological noise inherent in RNA-Seq measurements (batch effects, technical variation) and improves robustness to measurement noise at inference time.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5.4 Label Smoothing</w:t>
      </w:r>
    </w:p>
    <w:p>
      <w:pPr>
        <w:spacing w:after="80" w:before="80"/>
        <w:jc w:val="both"/>
      </w:pPr>
      <w:r>
        <w:rPr>
          <w:rFonts w:ascii="Arial" w:cs="Arial" w:eastAsia="Arial" w:hAnsi="Arial"/>
          <w:sz w:val="22"/>
          <w:szCs w:val="22"/>
        </w:rPr>
        <w:t xml:space="preserve">Label smoothing (ε = 0.1) distributes 10% of the probability mass uniformly across all classes instead of assigning 100% to the true class. Combined with MixUp soft labels, this prevents the model from becoming overconfident on training data and improves generalization.</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5.5 SMOTE for Class Imbalance</w:t>
      </w:r>
    </w:p>
    <w:p>
      <w:pPr>
        <w:spacing w:after="80" w:before="80"/>
        <w:jc w:val="both"/>
      </w:pPr>
      <w:r>
        <w:rPr>
          <w:rFonts w:ascii="Arial" w:cs="Arial" w:eastAsia="Arial" w:hAnsi="Arial"/>
          <w:sz w:val="22"/>
          <w:szCs w:val="22"/>
        </w:rPr>
        <w:t xml:space="preserve">The TCGA dataset is significantly imbalanced — some cancer types (e.g., BRCA with ~1,000+ samples) are represented over 10x more than rare types (e.g., CHOL, UVM with &lt;80 samples). SMOTE generates synthetic samples for underrepresented classes by:</w:t>
      </w:r>
    </w:p>
    <w:p>
      <w:pPr>
        <w:pStyle w:val="ListParagraph"/>
        <w:numPr>
          <w:ilvl w:val="0"/>
          <w:numId w:val="3"/>
        </w:numPr>
        <w:spacing w:after="60" w:before="60"/>
      </w:pPr>
      <w:r>
        <w:rPr>
          <w:rFonts w:ascii="Arial" w:cs="Arial" w:eastAsia="Arial" w:hAnsi="Arial"/>
          <w:sz w:val="22"/>
          <w:szCs w:val="22"/>
        </w:rPr>
        <w:t xml:space="preserve">Selecting a minority sample and its k=3 nearest neighbors in feature space.</w:t>
      </w:r>
    </w:p>
    <w:p>
      <w:pPr>
        <w:pStyle w:val="ListParagraph"/>
        <w:numPr>
          <w:ilvl w:val="0"/>
          <w:numId w:val="3"/>
        </w:numPr>
        <w:spacing w:after="60" w:before="60"/>
      </w:pPr>
      <w:r>
        <w:rPr>
          <w:rFonts w:ascii="Arial" w:cs="Arial" w:eastAsia="Arial" w:hAnsi="Arial"/>
          <w:sz w:val="22"/>
          <w:szCs w:val="22"/>
        </w:rPr>
        <w:t xml:space="preserve">Generating a new synthetic sample by interpolating between the sample and a randomly chosen neighbor.</w:t>
      </w:r>
    </w:p>
    <w:p>
      <w:pPr>
        <w:spacing w:after="80" w:before="80"/>
        <w:jc w:val="both"/>
      </w:pPr>
      <w:r>
        <w:rPr>
          <w:rFonts w:ascii="Arial" w:cs="Arial" w:eastAsia="Arial" w:hAnsi="Arial"/>
          <w:sz w:val="22"/>
          <w:szCs w:val="22"/>
        </w:rPr>
        <w:t xml:space="preserve">We apply SMOTE to any class with fewer than 400 training samples, bringing them up to 400. SMOTE is applied only to training data (never validation or test) to avoid data leakage.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5.6 Five-Seed Ensemble Training</w:t>
      </w:r>
    </w:p>
    <w:p>
      <w:pPr>
        <w:spacing w:after="80" w:before="80"/>
        <w:jc w:val="both"/>
      </w:pPr>
      <w:r>
        <w:rPr>
          <w:rFonts w:ascii="Arial" w:cs="Arial" w:eastAsia="Arial" w:hAnsi="Arial"/>
          <w:sz w:val="22"/>
          <w:szCs w:val="22"/>
        </w:rPr>
        <w:t xml:space="preserve">We train five identical models with different random seeds (42, 123, 456, 789, 999). Each seed initializes model weights differently, produces different mini-batch ordering, and receives different augmented data. This creates model diversity — each model makes different errors — which the ensemble averaging corrects. The ensemble approach is theoretically justified by the bias-variance tradeoff: while each individual model has variance in its predictions, averaging multiple diverse models reduces this variance.</w:t>
      </w:r>
    </w:p>
    <w:p>
      <w:pPr>
        <w:spacing w:after="40" w:before="40"/>
      </w:pPr>
      <w:r>
        <w:t xml:space="preserve"/>
      </w:r>
    </w:p>
    <w:p>
      <w:r>
        <w:br w:type="page"/>
      </w:r>
    </w:p>
    <w:p>
      <w:pPr>
        <w:pStyle w:val="Heading1"/>
        <w:spacing w:after="120" w:before="360"/>
      </w:pPr>
      <w:r>
        <w:rPr>
          <w:rFonts w:ascii="Arial" w:cs="Arial" w:eastAsia="Arial" w:hAnsi="Arial"/>
          <w:b/>
          <w:bCs/>
          <w:color w:val="1F4E79"/>
          <w:sz w:val="32"/>
          <w:szCs w:val="32"/>
        </w:rPr>
        <w:t xml:space="preserve">6. Ensemble and Post-Processing Pipeline</w:t>
      </w:r>
    </w:p>
    <w:p>
      <w:pPr>
        <w:pStyle w:val="Heading2"/>
        <w:spacing w:after="80" w:before="240"/>
      </w:pPr>
      <w:r>
        <w:rPr>
          <w:rFonts w:ascii="Arial" w:cs="Arial" w:eastAsia="Arial" w:hAnsi="Arial"/>
          <w:b/>
          <w:bCs/>
          <w:color w:val="2E75B6"/>
          <w:sz w:val="26"/>
          <w:szCs w:val="26"/>
        </w:rPr>
        <w:t xml:space="preserve">6.1 Test-Time Augmentation (TTA)</w:t>
      </w:r>
    </w:p>
    <w:p>
      <w:pPr>
        <w:spacing w:after="80" w:before="80"/>
        <w:jc w:val="both"/>
      </w:pPr>
      <w:r>
        <w:rPr>
          <w:rFonts w:ascii="Arial" w:cs="Arial" w:eastAsia="Arial" w:hAnsi="Arial"/>
          <w:sz w:val="22"/>
          <w:szCs w:val="22"/>
        </w:rPr>
        <w:t xml:space="preserve">At inference time, rather than making a single prediction per sample, we make 10 predictions — each with a different random Gaussian noise (σ = 0.02) added to the input. The 10 softmax probability vectors are averaged to produce the final TTA prediction. TTA reduces prediction variance and is particularly effective for boundary cases where the model is uncertain.</w:t>
      </w:r>
    </w:p>
    <w:p>
      <w:pPr>
        <w:spacing w:after="80" w:before="80"/>
        <w:jc w:val="both"/>
      </w:pPr>
      <w:r>
        <w:rPr>
          <w:rFonts w:ascii="Arial" w:cs="Arial" w:eastAsia="Arial" w:hAnsi="Arial"/>
          <w:sz w:val="22"/>
          <w:szCs w:val="22"/>
        </w:rPr>
        <w:t xml:space="preserve">Total predictions per test sample: 5 models × 10 TTA passes = 50 predictions, averaged.</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6.2 Weighted Ensemble Optimization</w:t>
      </w:r>
    </w:p>
    <w:p>
      <w:pPr>
        <w:spacing w:after="80" w:before="80"/>
        <w:jc w:val="both"/>
      </w:pPr>
      <w:r>
        <w:rPr>
          <w:rFonts w:ascii="Arial" w:cs="Arial" w:eastAsia="Arial" w:hAnsi="Arial"/>
          <w:sz w:val="22"/>
          <w:szCs w:val="22"/>
        </w:rPr>
        <w:t xml:space="preserve">Rather than simple equal-weight averaging of the 5 models, we optimize model weights on the validation set using Nelder-Mead optimization (scipy.optimize.minimize). The objective function minimizes cross-entropy loss of the weighted ensemble on validation predictions. We run 8 random restarts and take the best solution.</w:t>
      </w:r>
    </w:p>
    <w:p>
      <w:pPr>
        <w:spacing w:after="80" w:before="80"/>
        <w:jc w:val="both"/>
      </w:pPr>
      <w:r>
        <w:rPr>
          <w:rFonts w:ascii="Arial" w:cs="Arial" w:eastAsia="Arial" w:hAnsi="Arial"/>
          <w:sz w:val="22"/>
          <w:szCs w:val="22"/>
        </w:rPr>
        <w:t xml:space="preserve">Optimal weights found: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 Seed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Optimized Weight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 42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0.2347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contribution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Seed 123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0.0901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Lower weight (slightly weaker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 456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0.2400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contribution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Seed 789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0.3321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Highest weight (strongest individual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 999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0.1031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weight</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6.3 Meta-Learner Stacking</w:t>
      </w:r>
    </w:p>
    <w:p>
      <w:pPr>
        <w:spacing w:after="80" w:before="80"/>
        <w:jc w:val="both"/>
      </w:pPr>
      <w:r>
        <w:rPr>
          <w:rFonts w:ascii="Arial" w:cs="Arial" w:eastAsia="Arial" w:hAnsi="Arial"/>
          <w:sz w:val="22"/>
          <w:szCs w:val="22"/>
        </w:rPr>
        <w:t xml:space="preserve">As an alternative ensemble strategy, we also train a Logistic Regression meta-learner on the validation set probabilities. The 5 model outputs (each a 32-dimensional probability vector) are concatenated into a 160-dimensional feature vector, and Logistic Regression (C=1.0, max_iter=2000) is trained to map this to the final class prediction. This allows the meta-learner to discover which models are most reliable for which cancer types.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6.4 Temperature Scaling</w:t>
      </w:r>
    </w:p>
    <w:p>
      <w:pPr>
        <w:spacing w:after="80" w:before="80"/>
        <w:jc w:val="both"/>
      </w:pPr>
      <w:r>
        <w:rPr>
          <w:rFonts w:ascii="Arial" w:cs="Arial" w:eastAsia="Arial" w:hAnsi="Arial"/>
          <w:sz w:val="22"/>
          <w:szCs w:val="22"/>
        </w:rPr>
        <w:t xml:space="preserve">Neural networks are often overconfident — they assign very high probability to their top-1 prediction even when uncertain. Temperature scaling (Guo et al., 2017) is a post-hoc calibration technique: the logit vector z is divided by a learned temperature T before applying softmax.</w:t>
      </w:r>
    </w:p>
    <w:p>
      <w:pPr>
        <w:spacing w:after="120" w:before="120"/>
        <w:jc w:val="center"/>
      </w:pPr>
      <w:r>
        <w:rPr>
          <w:rFonts w:ascii="Courier New" w:cs="Courier New" w:eastAsia="Courier New" w:hAnsi="Courier New"/>
          <w:b/>
          <w:bCs/>
          <w:sz w:val="22"/>
          <w:szCs w:val="22"/>
        </w:rPr>
        <w:t xml:space="preserve">P(y|x) = softmax(z / T)</w:t>
      </w:r>
    </w:p>
    <w:p>
      <w:pPr>
        <w:spacing w:after="80" w:before="80"/>
        <w:jc w:val="both"/>
      </w:pPr>
      <w:r>
        <w:rPr>
          <w:rFonts w:ascii="Arial" w:cs="Arial" w:eastAsia="Arial" w:hAnsi="Arial"/>
          <w:sz w:val="22"/>
          <w:szCs w:val="22"/>
        </w:rPr>
        <w:t xml:space="preserve">T is optimized on the validation set to minimize expected calibration error. Our optimal T = 1.006, indicating the model was very slightly overconfident (T &gt; 1 reduces confidence, T &lt; 1 increases it). This calibration step ensures that the model's reported probabilities accurately reflect empirical accuracy.</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6.5 Final Blend Strategy</w:t>
      </w:r>
    </w:p>
    <w:p>
      <w:pPr>
        <w:spacing w:after="80" w:before="80"/>
        <w:jc w:val="both"/>
      </w:pPr>
      <w:r>
        <w:rPr>
          <w:rFonts w:ascii="Arial" w:cs="Arial" w:eastAsia="Arial" w:hAnsi="Arial"/>
          <w:sz w:val="22"/>
          <w:szCs w:val="22"/>
        </w:rPr>
        <w:t xml:space="preserve">The final prediction is a weighted blend:</w:t>
      </w:r>
    </w:p>
    <w:p>
      <w:pPr>
        <w:spacing w:after="120" w:before="120"/>
        <w:jc w:val="center"/>
      </w:pPr>
      <w:r>
        <w:rPr>
          <w:rFonts w:ascii="Courier New" w:cs="Courier New" w:eastAsia="Courier New" w:hAnsi="Courier New"/>
          <w:b/>
          <w:bCs/>
          <w:sz w:val="22"/>
          <w:szCs w:val="22"/>
        </w:rPr>
        <w:t xml:space="preserve">Final = 0.60 × TTA_predictions + 0.40 × Temperature_calibrated_predictions</w:t>
      </w:r>
    </w:p>
    <w:p>
      <w:pPr>
        <w:spacing w:after="80" w:before="80"/>
        <w:jc w:val="both"/>
      </w:pPr>
      <w:r>
        <w:rPr>
          <w:rFonts w:ascii="Arial" w:cs="Arial" w:eastAsia="Arial" w:hAnsi="Arial"/>
          <w:sz w:val="22"/>
          <w:szCs w:val="22"/>
        </w:rPr>
        <w:t xml:space="preserve">TTA receives higher weight (60%) as it directly averages diverse stochastic forward passes. The temperature-calibrated predictions contribute 40% as a complementary signal with better probability calibration.</w:t>
      </w:r>
    </w:p>
    <w:p>
      <w:pPr>
        <w:spacing w:after="40" w:before="40"/>
      </w:pPr>
      <w:r>
        <w:t xml:space="preserve"/>
      </w:r>
    </w:p>
    <w:p>
      <w:r>
        <w:br w:type="page"/>
      </w:r>
    </w:p>
    <w:p>
      <w:pPr>
        <w:pStyle w:val="Heading1"/>
        <w:spacing w:after="120" w:before="360"/>
      </w:pPr>
      <w:r>
        <w:rPr>
          <w:rFonts w:ascii="Arial" w:cs="Arial" w:eastAsia="Arial" w:hAnsi="Arial"/>
          <w:b/>
          <w:bCs/>
          <w:color w:val="1F4E79"/>
          <w:sz w:val="32"/>
          <w:szCs w:val="32"/>
        </w:rPr>
        <w:t xml:space="preserve">7. Results and Analysis</w:t>
      </w:r>
    </w:p>
    <w:p>
      <w:pPr>
        <w:pStyle w:val="Heading2"/>
        <w:spacing w:after="80" w:before="240"/>
      </w:pPr>
      <w:r>
        <w:rPr>
          <w:rFonts w:ascii="Arial" w:cs="Arial" w:eastAsia="Arial" w:hAnsi="Arial"/>
          <w:b/>
          <w:bCs/>
          <w:color w:val="2E75B6"/>
          <w:sz w:val="26"/>
          <w:szCs w:val="26"/>
        </w:rPr>
        <w:t xml:space="preserve">7.1 Overall Performance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5260"/>
      </w:tblGrid>
      <w:tr>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Accuracy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94.33%</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classification on 94.33% of held-out test samples across 32 classes</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Macro F1-Score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0.9250</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Average F1 across all 32 classes — accounts for class imbalance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ROC-AUC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0.9957</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Near-perfect discrimination between each cancer type and all others (one-vs-rest)</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Equal-weight Ensemble Baseline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94.52%</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Before weight optimization — weighted optimization can lower overall but improve calibration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 minutes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CUDA GPU, across all 5 seeds</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7.2 Per-Class F1-Score Analysis</w:t>
      </w:r>
    </w:p>
    <w:p>
      <w:pPr>
        <w:pStyle w:val="Heading3"/>
        <w:spacing w:after="60" w:before="180"/>
      </w:pPr>
      <w:r>
        <w:rPr>
          <w:rFonts w:ascii="Arial" w:cs="Arial" w:eastAsia="Arial" w:hAnsi="Arial"/>
          <w:b/>
          <w:bCs/>
          <w:color w:val="1A1A2E"/>
          <w:sz w:val="24"/>
          <w:szCs w:val="24"/>
        </w:rPr>
        <w:t xml:space="preserve">Perfectly Classified Cancer Types (F1 = 1.0000):</w:t>
      </w:r>
    </w:p>
    <w:p>
      <w:pPr>
        <w:spacing w:after="80" w:before="80"/>
        <w:jc w:val="both"/>
      </w:pPr>
      <w:r>
        <w:rPr>
          <w:rFonts w:ascii="Arial" w:cs="Arial" w:eastAsia="Arial" w:hAnsi="Arial"/>
          <w:sz w:val="22"/>
          <w:szCs w:val="22"/>
        </w:rPr>
        <w:t xml:space="preserve">Seven cancer types were classified with zero errors: THCA (Thyroid), PRAD (Prostate), PCPG (Pheochromocytoma), LAML (Acute Myeloid Leukemia), LUAD (Lung Adenocarcinoma), STAD (Stomach), and CHOL (Cholangiocarcinoma). These cancers have highly distinctive gene expression signatures that make them trivially separable from all other types.</w:t>
      </w:r>
    </w:p>
    <w:p>
      <w:pPr>
        <w:spacing w:after="40" w:before="40"/>
      </w:pPr>
      <w:r>
        <w:t xml:space="preserve"/>
      </w:r>
    </w:p>
    <w:p>
      <w:pPr>
        <w:pStyle w:val="Heading3"/>
        <w:spacing w:after="60" w:before="180"/>
      </w:pPr>
      <w:r>
        <w:rPr>
          <w:rFonts w:ascii="Arial" w:cs="Arial" w:eastAsia="Arial" w:hAnsi="Arial"/>
          <w:b/>
          <w:bCs/>
          <w:color w:val="1A1A2E"/>
          <w:sz w:val="24"/>
          <w:szCs w:val="24"/>
        </w:rPr>
        <w:t xml:space="preserve">High-Performance Classes (F1 = 0.95-0.99):</w:t>
      </w:r>
    </w:p>
    <w:p>
      <w:pPr>
        <w:spacing w:after="80" w:before="80"/>
        <w:jc w:val="both"/>
      </w:pPr>
      <w:r>
        <w:rPr>
          <w:rFonts w:ascii="Arial" w:cs="Arial" w:eastAsia="Arial" w:hAnsi="Arial"/>
          <w:sz w:val="22"/>
          <w:szCs w:val="22"/>
        </w:rPr>
        <w:t xml:space="preserve">Ten additional cancer types achieved F1 above 0.95: CRC (0.9924), PAAD (0.9818), BRCA (0.9807), TGCT (0.9796), SKCM (0.9787), UCS (0.9747), HNSC (0.9455), UCEC (0.9449), LGG (0.9412), KIRC (0.9392).</w:t>
      </w:r>
    </w:p>
    <w:p>
      <w:pPr>
        <w:spacing w:after="40" w:before="40"/>
      </w:pPr>
      <w:r>
        <w:t xml:space="preserve"/>
      </w:r>
    </w:p>
    <w:p>
      <w:pPr>
        <w:pStyle w:val="Heading3"/>
        <w:spacing w:after="60" w:before="180"/>
      </w:pPr>
      <w:r>
        <w:rPr>
          <w:rFonts w:ascii="Arial" w:cs="Arial" w:eastAsia="Arial" w:hAnsi="Arial"/>
          <w:b/>
          <w:bCs/>
          <w:color w:val="1A1A2E"/>
          <w:sz w:val="24"/>
          <w:szCs w:val="24"/>
        </w:rPr>
        <w:t xml:space="preserve">Moderate Performance Classes (F1 = 0.70-0.95):</w:t>
      </w:r>
    </w:p>
    <w:p>
      <w:pPr>
        <w:spacing w:after="80" w:before="80"/>
        <w:jc w:val="both"/>
      </w:pPr>
      <w:r>
        <w:rPr>
          <w:rFonts w:ascii="Arial" w:cs="Arial" w:eastAsia="Arial" w:hAnsi="Arial"/>
          <w:sz w:val="22"/>
          <w:szCs w:val="22"/>
        </w:rPr>
        <w:t xml:space="preserve">Eleven classes fell in the moderate range: DLBC (0.9078), LUSC (0.9333), KIRP (0.9032), LIHC (0.8966), SARC (0.8889), CESC (0.8817), BLCA (0.8788), MESO (0.8571), THYM (0.8571), ESCA (0.7692), UVM (0.7200). Many of these are histologically similar to neighboring cancer types (e.g., LUSC vs. HNSC — both squamous cell carcinomas).</w:t>
      </w:r>
    </w:p>
    <w:p>
      <w:pPr>
        <w:spacing w:after="40" w:before="40"/>
      </w:pPr>
      <w:r>
        <w:t xml:space="preserve"/>
      </w:r>
    </w:p>
    <w:p>
      <w:pPr>
        <w:pStyle w:val="Heading3"/>
        <w:spacing w:after="60" w:before="180"/>
      </w:pPr>
      <w:r>
        <w:rPr>
          <w:rFonts w:ascii="Arial" w:cs="Arial" w:eastAsia="Arial" w:hAnsi="Arial"/>
          <w:b/>
          <w:bCs/>
          <w:color w:val="1A1A2E"/>
          <w:sz w:val="24"/>
          <w:szCs w:val="24"/>
        </w:rPr>
        <w:t xml:space="preserve">Challenging Class (F1 &lt; 0.70):</w:t>
      </w:r>
    </w:p>
    <w:p>
      <w:pPr>
        <w:spacing w:after="80" w:before="80"/>
        <w:jc w:val="both"/>
      </w:pPr>
      <w:r>
        <w:rPr>
          <w:rFonts w:ascii="Arial" w:cs="Arial" w:eastAsia="Arial" w:hAnsi="Arial"/>
          <w:sz w:val="22"/>
          <w:szCs w:val="22"/>
        </w:rPr>
        <w:t xml:space="preserve">ACC (Adrenocortical Carcinoma) achieved F1 = 0.5455. This is the rarest cancer type in the dataset. Despite SMOTE upsampling, the model struggles because: (1) very few real training samples means limited learning signal, (2) adrenocortical gene expression overlaps with kidney and endocrine cancers, and (3) synthetic SMOTE samples may not capture the true ACC distribution.</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7.3 Individual Model Performance</w:t>
      </w:r>
    </w:p>
    <w:p>
      <w:pPr>
        <w:spacing w:after="4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900"/>
        <w:gridCol w:w="400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Seed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Accuracy</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Macro F1</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Ensemble Weight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 42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92.42%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0.9096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0.2347</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Seed 123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~91-93%</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~0.90-0.92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0.0901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 456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~91-93%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~0.90-0.92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0.2400</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Seed 789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~92-94%</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~0.91-0.93</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0.3321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 999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~91-93%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~0.90-0.92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0.1031</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Ensemble (final)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94.33%</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0.9250</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bl>
    <w:p>
      <w:pPr>
        <w:spacing w:after="80" w:before="80"/>
        <w:jc w:val="both"/>
      </w:pPr>
      <w:r>
        <w:rPr>
          <w:rFonts w:ascii="Arial" w:cs="Arial" w:eastAsia="Arial" w:hAnsi="Arial"/>
          <w:sz w:val="22"/>
          <w:szCs w:val="22"/>
        </w:rPr>
        <w:t xml:space="preserve">The ensemble consistently outperforms any individual model, demonstrating the value of diversity across random seeds. Seed 789 received the highest weight (0.3321), suggesting it happened to find a better local minimum during training.</w:t>
      </w:r>
    </w:p>
    <w:p>
      <w:pPr>
        <w:spacing w:after="40" w:before="40"/>
      </w:pPr>
      <w:r>
        <w:t xml:space="preserve"/>
      </w:r>
    </w:p>
    <w:p>
      <w:r>
        <w:br w:type="page"/>
      </w:r>
    </w:p>
    <w:p>
      <w:pPr>
        <w:pStyle w:val="Heading1"/>
        <w:spacing w:after="120" w:before="360"/>
      </w:pPr>
      <w:r>
        <w:rPr>
          <w:rFonts w:ascii="Arial" w:cs="Arial" w:eastAsia="Arial" w:hAnsi="Arial"/>
          <w:b/>
          <w:bCs/>
          <w:color w:val="1F4E79"/>
          <w:sz w:val="32"/>
          <w:szCs w:val="32"/>
        </w:rPr>
        <w:t xml:space="preserve">8. Comparison to Prior Work</w:t>
      </w:r>
    </w:p>
    <w:p>
      <w:pPr>
        <w:pStyle w:val="Heading2"/>
        <w:spacing w:after="80" w:before="240"/>
      </w:pPr>
      <w:r>
        <w:rPr>
          <w:rFonts w:ascii="Arial" w:cs="Arial" w:eastAsia="Arial" w:hAnsi="Arial"/>
          <w:b/>
          <w:bCs/>
          <w:color w:val="2E75B6"/>
          <w:sz w:val="26"/>
          <w:szCs w:val="26"/>
        </w:rPr>
        <w:t xml:space="preserve">8.1 Head-to-Head Comparison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Mostavi et al. (2020)</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Ramirez et al. (2020) GCNN</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Our Work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CNN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 CNN + PPI network</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1D-CNN with SE blocks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Dataset Classes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33 (with READ separate)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33 (with READ separate)</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32 (READ merged into COAD)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Ensemble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model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5-model weighted ensemble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TTA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(10 passes per sample)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Calibration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 scaling (T=1.006)</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 Performance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F1 ≈ 0.40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Poor (similar confusion)</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Merged — CRC F1 = 0.9924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Reported Accuracy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~90-93%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~90-93%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94.33%</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Macro F1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~0.88-0.92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~0.88-0.92</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0.9250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ROC-AUC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reported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reported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0.9957</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Biomarker Validation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(single-model gradients)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PPI-based analysis</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(gradient-based, 40+ markers)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 Network Input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(PPI)</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(expression only)</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8.2 Key Differentiators</w:t>
      </w:r>
    </w:p>
    <w:p>
      <w:pPr>
        <w:spacing w:after="80" w:before="80"/>
      </w:pPr>
      <w:r>
        <w:rPr>
          <w:rFonts w:ascii="Arial" w:cs="Arial" w:eastAsia="Arial" w:hAnsi="Arial"/>
          <w:b/>
          <w:bCs/>
          <w:sz w:val="22"/>
          <w:szCs w:val="22"/>
        </w:rPr>
        <w:t xml:space="preserve">1. READ/COAD Merge: </w:t>
      </w:r>
      <w:r>
        <w:rPr>
          <w:rFonts w:ascii="Arial" w:cs="Arial" w:eastAsia="Arial" w:hAnsi="Arial"/>
          <w:sz w:val="22"/>
          <w:szCs w:val="22"/>
        </w:rPr>
        <w:t xml:space="preserve">This single decision transforms the hardest classification pair in Mostavi's work (F1 = 0.40 for READ) into a high-performing merged class (F1 = 0.9924). It is biologically principled and immediately generalizable to other similar adjacent cancer type pairs.</w:t>
      </w:r>
    </w:p>
    <w:p>
      <w:pPr>
        <w:spacing w:after="80" w:before="80"/>
      </w:pPr>
      <w:r>
        <w:rPr>
          <w:rFonts w:ascii="Arial" w:cs="Arial" w:eastAsia="Arial" w:hAnsi="Arial"/>
          <w:b/>
          <w:bCs/>
          <w:sz w:val="22"/>
          <w:szCs w:val="22"/>
        </w:rPr>
        <w:t xml:space="preserve">2. Ensemble Diversity: </w:t>
      </w:r>
      <w:r>
        <w:rPr>
          <w:rFonts w:ascii="Arial" w:cs="Arial" w:eastAsia="Arial" w:hAnsi="Arial"/>
          <w:sz w:val="22"/>
          <w:szCs w:val="22"/>
        </w:rPr>
        <w:t xml:space="preserve">Five models trained with different random seeds, combined with optimized weights, reduce prediction variance substantially beyond what any single model achieves. This is a robust, practical technique for boosting performance on complex multi-class problems.</w:t>
      </w:r>
    </w:p>
    <w:p>
      <w:pPr>
        <w:spacing w:after="80" w:before="80"/>
      </w:pPr>
      <w:r>
        <w:rPr>
          <w:rFonts w:ascii="Arial" w:cs="Arial" w:eastAsia="Arial" w:hAnsi="Arial"/>
          <w:b/>
          <w:bCs/>
          <w:sz w:val="22"/>
          <w:szCs w:val="22"/>
        </w:rPr>
        <w:t xml:space="preserve">3. Test-Time Augmentation: </w:t>
      </w:r>
      <w:r>
        <w:rPr>
          <w:rFonts w:ascii="Arial" w:cs="Arial" w:eastAsia="Arial" w:hAnsi="Arial"/>
          <w:sz w:val="22"/>
          <w:szCs w:val="22"/>
        </w:rPr>
        <w:t xml:space="preserve">TTA provides stable probability estimates by averaging over 10 stochastic passes. This is particularly valuable for rare cancer types where the model's prediction is inherently more uncertain.</w:t>
      </w:r>
    </w:p>
    <w:p>
      <w:pPr>
        <w:spacing w:after="80" w:before="80"/>
      </w:pPr>
      <w:r>
        <w:rPr>
          <w:rFonts w:ascii="Arial" w:cs="Arial" w:eastAsia="Arial" w:hAnsi="Arial"/>
          <w:b/>
          <w:bCs/>
          <w:sz w:val="22"/>
          <w:szCs w:val="22"/>
        </w:rPr>
        <w:t xml:space="preserve">4. SE Attention: </w:t>
      </w:r>
      <w:r>
        <w:rPr>
          <w:rFonts w:ascii="Arial" w:cs="Arial" w:eastAsia="Arial" w:hAnsi="Arial"/>
          <w:sz w:val="22"/>
          <w:szCs w:val="22"/>
        </w:rPr>
        <w:t xml:space="preserve">Squeeze-Excitation blocks allow the model to dynamically focus on the most discriminative gene expression channels for each cancer type, providing a biological interpretability pathway.</w:t>
      </w:r>
    </w:p>
    <w:p>
      <w:pPr>
        <w:spacing w:after="80" w:before="80"/>
      </w:pPr>
      <w:r>
        <w:rPr>
          <w:rFonts w:ascii="Arial" w:cs="Arial" w:eastAsia="Arial" w:hAnsi="Arial"/>
          <w:b/>
          <w:bCs/>
          <w:sz w:val="22"/>
          <w:szCs w:val="22"/>
        </w:rPr>
        <w:t xml:space="preserve">5. Calibration: </w:t>
      </w:r>
      <w:r>
        <w:rPr>
          <w:rFonts w:ascii="Arial" w:cs="Arial" w:eastAsia="Arial" w:hAnsi="Arial"/>
          <w:sz w:val="22"/>
          <w:szCs w:val="22"/>
        </w:rPr>
        <w:t xml:space="preserve">Temperature scaling ensures the model's confidence scores are meaningful — a reported 90% probability should correspond to 90% empirical accuracy. Neither Mostavi nor Ramirez address calibration.</w:t>
      </w:r>
    </w:p>
    <w:p>
      <w:pPr>
        <w:spacing w:after="40" w:before="40"/>
      </w:pPr>
      <w:r>
        <w:t xml:space="preserve"/>
      </w:r>
    </w:p>
    <w:p>
      <w:r>
        <w:br w:type="page"/>
      </w:r>
    </w:p>
    <w:p>
      <w:pPr>
        <w:pStyle w:val="Heading1"/>
        <w:spacing w:after="120" w:before="360"/>
      </w:pPr>
      <w:r>
        <w:rPr>
          <w:rFonts w:ascii="Arial" w:cs="Arial" w:eastAsia="Arial" w:hAnsi="Arial"/>
          <w:b/>
          <w:bCs/>
          <w:color w:val="1F4E79"/>
          <w:sz w:val="32"/>
          <w:szCs w:val="32"/>
        </w:rPr>
        <w:t xml:space="preserve">9. Biomarker Analysis</w:t>
      </w:r>
    </w:p>
    <w:p>
      <w:pPr>
        <w:pStyle w:val="Heading2"/>
        <w:spacing w:after="80" w:before="240"/>
      </w:pPr>
      <w:r>
        <w:rPr>
          <w:rFonts w:ascii="Arial" w:cs="Arial" w:eastAsia="Arial" w:hAnsi="Arial"/>
          <w:b/>
          <w:bCs/>
          <w:color w:val="2E75B6"/>
          <w:sz w:val="26"/>
          <w:szCs w:val="26"/>
        </w:rPr>
        <w:t xml:space="preserve">9.1 Gradient-Based Gene Importance</w:t>
      </w:r>
    </w:p>
    <w:p>
      <w:pPr>
        <w:spacing w:after="80" w:before="80"/>
        <w:jc w:val="both"/>
      </w:pPr>
      <w:r>
        <w:rPr>
          <w:rFonts w:ascii="Arial" w:cs="Arial" w:eastAsia="Arial" w:hAnsi="Arial"/>
          <w:sz w:val="22"/>
          <w:szCs w:val="22"/>
        </w:rPr>
        <w:t xml:space="preserve">To understand what the model has learned, we compute gradient-based gene importance scores. For each test sample with predicted class c, we compute the gradient of the class-c output with respect to the input gene expression vector. The absolute gradient value for each gene indicates how much a small change in that gene's expression would affect the prediction — a proxy for the gene's importance to that classification decision.</w:t>
      </w:r>
    </w:p>
    <w:p>
      <w:pPr>
        <w:spacing w:after="80" w:before="80"/>
        <w:jc w:val="both"/>
      </w:pPr>
      <w:r>
        <w:rPr>
          <w:rFonts w:ascii="Arial" w:cs="Arial" w:eastAsia="Arial" w:hAnsi="Arial"/>
          <w:sz w:val="22"/>
          <w:szCs w:val="22"/>
        </w:rPr>
        <w:t xml:space="preserve">These per-sample gradients are averaged across all test samples of each cancer type to produce per-cancer gene importance rankings.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9.2 Known Biomarkers Recovered</w:t>
      </w:r>
    </w:p>
    <w:p>
      <w:pPr>
        <w:spacing w:after="80" w:before="80"/>
        <w:jc w:val="both"/>
      </w:pPr>
      <w:r>
        <w:rPr>
          <w:rFonts w:ascii="Arial" w:cs="Arial" w:eastAsia="Arial" w:hAnsi="Arial"/>
          <w:sz w:val="22"/>
          <w:szCs w:val="22"/>
        </w:rPr>
        <w:t xml:space="preserve">We track 40+ known cancer biomarkers from the literature and check whether our model assigns them high importance scores for their respective cancer types: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Cancer Type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Known Biomarkers Tracked</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Clinical Significance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Breast (BRCA)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GATA3, ESR1, PGR, ERBB2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Hormone receptor status and HER2 status — standard clinical biomarkers for treatment selection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Prostate (PRAD)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KLK3 (PSA), AR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PSA is the standard prostate cancer biomarker; androgen receptor drives progression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Lung (LUAD/LUSC)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TTF1, NKX2-1, SOX2, TP63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Differentiates adenocarcinoma from squamous cell; guides targeted therapy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Colorectal (CRC)</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KRAS, SMAD4, MLH1, APC</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 CRC driver mutations and mismatch repair genes — guide anti-EGFR therapy selection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Kidney (KIRC)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VHL, PBRM1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VHL loss drives clear cell kidney cancer; guides sunitinib/pazopanib therapy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Leukemia (LAML)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FLT3, NPM1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 AML mutation markers — guide targeted therapy selection</w:t>
            </w:r>
          </w:p>
        </w:tc>
      </w:tr>
    </w:tbl>
    <w:p>
      <w:pPr>
        <w:spacing w:after="80" w:before="80"/>
        <w:jc w:val="both"/>
      </w:pPr>
      <w:r>
        <w:rPr>
          <w:rFonts w:ascii="Arial" w:cs="Arial" w:eastAsia="Arial" w:hAnsi="Arial"/>
          <w:sz w:val="22"/>
          <w:szCs w:val="22"/>
        </w:rPr>
        <w:t xml:space="preserve">The recovery of known biomarkers in our gradient importance analysis validates that the model has learned biologically meaningful patterns rather than arbitrary statistical correlations.</w:t>
      </w:r>
    </w:p>
    <w:p>
      <w:pPr>
        <w:spacing w:after="40" w:before="40"/>
      </w:pPr>
      <w:r>
        <w:t xml:space="preserve"/>
      </w:r>
    </w:p>
    <w:p>
      <w:r>
        <w:br w:type="page"/>
      </w:r>
    </w:p>
    <w:p>
      <w:pPr>
        <w:pStyle w:val="Heading1"/>
        <w:spacing w:after="120" w:before="360"/>
      </w:pPr>
      <w:r>
        <w:rPr>
          <w:rFonts w:ascii="Arial" w:cs="Arial" w:eastAsia="Arial" w:hAnsi="Arial"/>
          <w:b/>
          <w:bCs/>
          <w:color w:val="1F4E79"/>
          <w:sz w:val="32"/>
          <w:szCs w:val="32"/>
        </w:rPr>
        <w:t xml:space="preserve">10. Limitations and Future Work</w:t>
      </w:r>
    </w:p>
    <w:p>
      <w:pPr>
        <w:pStyle w:val="Heading2"/>
        <w:spacing w:after="80" w:before="240"/>
      </w:pPr>
      <w:r>
        <w:rPr>
          <w:rFonts w:ascii="Arial" w:cs="Arial" w:eastAsia="Arial" w:hAnsi="Arial"/>
          <w:b/>
          <w:bCs/>
          <w:color w:val="2E75B6"/>
          <w:sz w:val="26"/>
          <w:szCs w:val="26"/>
        </w:rPr>
        <w:t xml:space="preserve">10.1 Current Limitations</w:t>
      </w:r>
    </w:p>
    <w:p>
      <w:pPr>
        <w:spacing w:after="80" w:before="80"/>
      </w:pPr>
      <w:r>
        <w:rPr>
          <w:rFonts w:ascii="Arial" w:cs="Arial" w:eastAsia="Arial" w:hAnsi="Arial"/>
          <w:b/>
          <w:bCs/>
          <w:sz w:val="22"/>
          <w:szCs w:val="22"/>
        </w:rPr>
        <w:t xml:space="preserve">ACC Performance (F1 = 0.5455): </w:t>
      </w:r>
      <w:r>
        <w:rPr>
          <w:rFonts w:ascii="Arial" w:cs="Arial" w:eastAsia="Arial" w:hAnsi="Arial"/>
          <w:sz w:val="22"/>
          <w:szCs w:val="22"/>
        </w:rPr>
        <w:t xml:space="preserve">Adrenocortical carcinoma is the rarest class in the dataset. Despite SMOTE, the model still struggles. Future work could explore specialized few-shot learning techniques for rare cancer types.</w:t>
      </w:r>
    </w:p>
    <w:p>
      <w:pPr>
        <w:spacing w:after="80" w:before="80"/>
      </w:pPr>
      <w:r>
        <w:rPr>
          <w:rFonts w:ascii="Arial" w:cs="Arial" w:eastAsia="Arial" w:hAnsi="Arial"/>
          <w:b/>
          <w:bCs/>
          <w:sz w:val="22"/>
          <w:szCs w:val="22"/>
        </w:rPr>
        <w:t xml:space="preserve">Gene Identity in Importance Scores: </w:t>
      </w:r>
      <w:r>
        <w:rPr>
          <w:rFonts w:ascii="Arial" w:cs="Arial" w:eastAsia="Arial" w:hAnsi="Arial"/>
          <w:sz w:val="22"/>
          <w:szCs w:val="22"/>
        </w:rPr>
        <w:t xml:space="preserve">The current implementation references genes by positional index rather than HGNC gene symbol in some output files. Full HGNC symbol mapping would make the biomarker analysis more directly interpretable.</w:t>
      </w:r>
    </w:p>
    <w:p>
      <w:pPr>
        <w:spacing w:after="80" w:before="80"/>
      </w:pPr>
      <w:r>
        <w:rPr>
          <w:rFonts w:ascii="Arial" w:cs="Arial" w:eastAsia="Arial" w:hAnsi="Arial"/>
          <w:b/>
          <w:bCs/>
          <w:sz w:val="22"/>
          <w:szCs w:val="22"/>
        </w:rPr>
        <w:t xml:space="preserve">No Network Biology Integration: </w:t>
      </w:r>
      <w:r>
        <w:rPr>
          <w:rFonts w:ascii="Arial" w:cs="Arial" w:eastAsia="Arial" w:hAnsi="Arial"/>
          <w:sz w:val="22"/>
          <w:szCs w:val="22"/>
        </w:rPr>
        <w:t xml:space="preserve">Unlike Ramirez et al., we do not incorporate protein-protein interaction networks. Integrating biological network structure as a graph neural network component could improve performance on cancer types defined by pathway dysregulation rather than individual gene markers.</w:t>
      </w:r>
    </w:p>
    <w:p>
      <w:pPr>
        <w:spacing w:after="80" w:before="80"/>
      </w:pPr>
      <w:r>
        <w:rPr>
          <w:rFonts w:ascii="Arial" w:cs="Arial" w:eastAsia="Arial" w:hAnsi="Arial"/>
          <w:b/>
          <w:bCs/>
          <w:sz w:val="22"/>
          <w:szCs w:val="22"/>
        </w:rPr>
        <w:t xml:space="preserve">Single Omics: </w:t>
      </w:r>
      <w:r>
        <w:rPr>
          <w:rFonts w:ascii="Arial" w:cs="Arial" w:eastAsia="Arial" w:hAnsi="Arial"/>
          <w:sz w:val="22"/>
          <w:szCs w:val="22"/>
        </w:rPr>
        <w:t xml:space="preserve">The model uses only gene expression. TCGA also contains DNA methylation, copy number, somatic mutations, and protein expression. Multi-omics integration could improve classification, especially for histologically similar cancers.</w:t>
      </w:r>
    </w:p>
    <w:p>
      <w:pPr>
        <w:spacing w:after="80" w:before="80"/>
      </w:pPr>
      <w:r>
        <w:rPr>
          <w:rFonts w:ascii="Arial" w:cs="Arial" w:eastAsia="Arial" w:hAnsi="Arial"/>
          <w:b/>
          <w:bCs/>
          <w:sz w:val="22"/>
          <w:szCs w:val="22"/>
        </w:rPr>
        <w:t xml:space="preserve">Transductive Limitation: </w:t>
      </w:r>
      <w:r>
        <w:rPr>
          <w:rFonts w:ascii="Arial" w:cs="Arial" w:eastAsia="Arial" w:hAnsi="Arial"/>
          <w:sz w:val="22"/>
          <w:szCs w:val="22"/>
        </w:rPr>
        <w:t xml:space="preserve">The model is trained and evaluated on TCGA data specifically. Its performance on data from different sequencing centers or with different normalization protocols (batch effects) has not been tested.</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10.2 Future Directions</w:t>
      </w:r>
    </w:p>
    <w:p>
      <w:pPr>
        <w:pStyle w:val="ListParagraph"/>
        <w:numPr>
          <w:ilvl w:val="0"/>
          <w:numId w:val="2"/>
        </w:numPr>
        <w:spacing w:after="60" w:before="60"/>
      </w:pPr>
      <w:r>
        <w:rPr>
          <w:rFonts w:ascii="Arial" w:cs="Arial" w:eastAsia="Arial" w:hAnsi="Arial"/>
          <w:sz w:val="22"/>
          <w:szCs w:val="22"/>
        </w:rPr>
        <w:t xml:space="preserve">Pathway-level features: Aggregate gene expression to biological pathway activity scores (using GSVA or similar) to provide biologically structured inputs.</w:t>
      </w:r>
    </w:p>
    <w:p>
      <w:pPr>
        <w:pStyle w:val="ListParagraph"/>
        <w:numPr>
          <w:ilvl w:val="0"/>
          <w:numId w:val="2"/>
        </w:numPr>
        <w:spacing w:after="60" w:before="60"/>
      </w:pPr>
      <w:r>
        <w:rPr>
          <w:rFonts w:ascii="Arial" w:cs="Arial" w:eastAsia="Arial" w:hAnsi="Arial"/>
          <w:sz w:val="22"/>
          <w:szCs w:val="22"/>
        </w:rPr>
        <w:t xml:space="preserve">Multi-omic fusion: Combine RNA-Seq with DNA methylation and copy number using late fusion or cross-modal attention.</w:t>
      </w:r>
    </w:p>
    <w:p>
      <w:pPr>
        <w:pStyle w:val="ListParagraph"/>
        <w:numPr>
          <w:ilvl w:val="0"/>
          <w:numId w:val="2"/>
        </w:numPr>
        <w:spacing w:after="60" w:before="60"/>
      </w:pPr>
      <w:r>
        <w:rPr>
          <w:rFonts w:ascii="Arial" w:cs="Arial" w:eastAsia="Arial" w:hAnsi="Arial"/>
          <w:sz w:val="22"/>
          <w:szCs w:val="22"/>
        </w:rPr>
        <w:t xml:space="preserve">Transformer architecture: Self-attention over gene positions could capture long-range gene-gene interactions that 1D-CNN with limited kernel sizes cannot.</w:t>
      </w:r>
    </w:p>
    <w:p>
      <w:pPr>
        <w:pStyle w:val="ListParagraph"/>
        <w:numPr>
          <w:ilvl w:val="0"/>
          <w:numId w:val="2"/>
        </w:numPr>
        <w:spacing w:after="60" w:before="60"/>
      </w:pPr>
      <w:r>
        <w:rPr>
          <w:rFonts w:ascii="Arial" w:cs="Arial" w:eastAsia="Arial" w:hAnsi="Arial"/>
          <w:sz w:val="22"/>
          <w:szCs w:val="22"/>
        </w:rPr>
        <w:t xml:space="preserve">Clinical integration: Combine molecular data with clinical features (age, sex, tumor stage) for holistic patient classification.</w:t>
      </w:r>
    </w:p>
    <w:p>
      <w:pPr>
        <w:pStyle w:val="ListParagraph"/>
        <w:numPr>
          <w:ilvl w:val="0"/>
          <w:numId w:val="2"/>
        </w:numPr>
        <w:spacing w:after="60" w:before="60"/>
      </w:pPr>
      <w:r>
        <w:rPr>
          <w:rFonts w:ascii="Arial" w:cs="Arial" w:eastAsia="Arial" w:hAnsi="Arial"/>
          <w:sz w:val="22"/>
          <w:szCs w:val="22"/>
        </w:rPr>
        <w:t xml:space="preserve">Survival prediction: Extend the classification framework to predict patient survival within each cancer type.</w:t>
      </w:r>
    </w:p>
    <w:p>
      <w:pPr>
        <w:spacing w:after="40" w:before="40"/>
      </w:pPr>
      <w:r>
        <w:t xml:space="preserve"/>
      </w:r>
    </w:p>
    <w:p>
      <w:r>
        <w:br w:type="page"/>
      </w:r>
    </w:p>
    <w:p>
      <w:pPr>
        <w:pStyle w:val="Heading1"/>
        <w:spacing w:after="120" w:before="360"/>
      </w:pPr>
      <w:r>
        <w:rPr>
          <w:rFonts w:ascii="Arial" w:cs="Arial" w:eastAsia="Arial" w:hAnsi="Arial"/>
          <w:b/>
          <w:bCs/>
          <w:color w:val="1F4E79"/>
          <w:sz w:val="32"/>
          <w:szCs w:val="32"/>
        </w:rPr>
        <w:t xml:space="preserve">11. Conclusion</w:t>
      </w:r>
    </w:p>
    <w:p>
      <w:pPr>
        <w:spacing w:after="80" w:before="80"/>
        <w:jc w:val="both"/>
      </w:pPr>
      <w:r>
        <w:rPr>
          <w:rFonts w:ascii="Arial" w:cs="Arial" w:eastAsia="Arial" w:hAnsi="Arial"/>
          <w:sz w:val="22"/>
          <w:szCs w:val="22"/>
        </w:rPr>
        <w:t xml:space="preserve">We presented a comprehensive deep learning pipeline for pan-cancer gene expression classification that achieves 94.33% accuracy and 0.9250 Macro F1 across 32 cancer types. Our key contributions are:</w:t>
      </w:r>
    </w:p>
    <w:p>
      <w:pPr>
        <w:pStyle w:val="ListParagraph"/>
        <w:numPr>
          <w:ilvl w:val="0"/>
          <w:numId w:val="3"/>
        </w:numPr>
        <w:spacing w:after="60" w:before="60"/>
      </w:pPr>
      <w:r>
        <w:rPr>
          <w:rFonts w:ascii="Arial" w:cs="Arial" w:eastAsia="Arial" w:hAnsi="Arial"/>
          <w:sz w:val="22"/>
          <w:szCs w:val="22"/>
        </w:rPr>
        <w:t xml:space="preserve">A biologically motivated READ/COAD class merge that eliminates the single most problematic confusion pair in prior work and achieves CRC F1 = 0.9924.</w:t>
      </w:r>
    </w:p>
    <w:p>
      <w:pPr>
        <w:pStyle w:val="ListParagraph"/>
        <w:numPr>
          <w:ilvl w:val="0"/>
          <w:numId w:val="3"/>
        </w:numPr>
        <w:spacing w:after="60" w:before="60"/>
      </w:pPr>
      <w:r>
        <w:rPr>
          <w:rFonts w:ascii="Arial" w:cs="Arial" w:eastAsia="Arial" w:hAnsi="Arial"/>
          <w:sz w:val="22"/>
          <w:szCs w:val="22"/>
        </w:rPr>
        <w:t xml:space="preserve">A five-model ensemble with Squeeze-Excitation 1D-CNNs trained with MixUp, Gaussian noise augmentation, SMOTE, and label smoothing.</w:t>
      </w:r>
    </w:p>
    <w:p>
      <w:pPr>
        <w:pStyle w:val="ListParagraph"/>
        <w:numPr>
          <w:ilvl w:val="0"/>
          <w:numId w:val="3"/>
        </w:numPr>
        <w:spacing w:after="60" w:before="60"/>
      </w:pPr>
      <w:r>
        <w:rPr>
          <w:rFonts w:ascii="Arial" w:cs="Arial" w:eastAsia="Arial" w:hAnsi="Arial"/>
          <w:sz w:val="22"/>
          <w:szCs w:val="22"/>
        </w:rPr>
        <w:t xml:space="preserve">A multi-stage post-processing pipeline: Test-Time Augmentation (10 passes), Nelder-Mead weighted ensemble optimization, meta-learner stacking, temperature scaling calibration, and TTA/calibration blending.</w:t>
      </w:r>
    </w:p>
    <w:p>
      <w:pPr>
        <w:pStyle w:val="ListParagraph"/>
        <w:numPr>
          <w:ilvl w:val="0"/>
          <w:numId w:val="3"/>
        </w:numPr>
        <w:spacing w:after="60" w:before="60"/>
      </w:pPr>
      <w:r>
        <w:rPr>
          <w:rFonts w:ascii="Arial" w:cs="Arial" w:eastAsia="Arial" w:hAnsi="Arial"/>
          <w:sz w:val="22"/>
          <w:szCs w:val="22"/>
        </w:rPr>
        <w:t xml:space="preserve">Gradient-based gene importance analysis recovering known clinical biomarkers across breast, prostate, lung, colorectal, kidney, and leukemia cancers.</w:t>
      </w:r>
    </w:p>
    <w:p>
      <w:pPr>
        <w:spacing w:after="40" w:before="40"/>
      </w:pPr>
      <w:r>
        <w:t xml:space="preserve"/>
      </w:r>
    </w:p>
    <w:p>
      <w:pPr>
        <w:spacing w:after="80" w:before="80"/>
        <w:jc w:val="both"/>
      </w:pPr>
      <w:r>
        <w:rPr>
          <w:rFonts w:ascii="Arial" w:cs="Arial" w:eastAsia="Arial" w:hAnsi="Arial"/>
          <w:sz w:val="22"/>
          <w:szCs w:val="22"/>
        </w:rPr>
        <w:t xml:space="preserve">Our work demonstrates that principled biological knowledge (READ/COAD merger), combined with modern deep learning best practices (SE attention, ensemble diversity, TTA, calibration), can push pan-cancer classification performance substantially beyond prior single-model approaches. The 0.9957 Mean ROC-AUC reflects near-perfect cancer type discrimination capability, a meaningful milestone toward molecular diagnostic tools.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References</w:t>
      </w:r>
    </w:p>
    <w:p>
      <w:pPr>
        <w:spacing w:after="80" w:before="80"/>
        <w:jc w:val="left"/>
      </w:pPr>
      <w:r>
        <w:rPr>
          <w:rFonts w:ascii="Arial" w:cs="Arial" w:eastAsia="Arial" w:hAnsi="Arial"/>
          <w:sz w:val="22"/>
          <w:szCs w:val="22"/>
        </w:rPr>
        <w:t xml:space="preserve">1. Mostavi M, et al. (2020). Convolutional neural network models for cancer type prediction based on gene expression. BMC Medical Genomics, 13(Suppl 5), 44.</w:t>
      </w:r>
    </w:p>
    <w:p>
      <w:pPr>
        <w:spacing w:after="80" w:before="80"/>
        <w:jc w:val="left"/>
      </w:pPr>
      <w:r>
        <w:rPr>
          <w:rFonts w:ascii="Arial" w:cs="Arial" w:eastAsia="Arial" w:hAnsi="Arial"/>
          <w:sz w:val="22"/>
          <w:szCs w:val="22"/>
        </w:rPr>
        <w:t xml:space="preserve">2. Ramirez R, et al. (2020). Classification of cancer types using graph convolutional neural networks. Frontiers in Physics, 8, 203.</w:t>
      </w:r>
    </w:p>
    <w:p>
      <w:pPr>
        <w:spacing w:after="80" w:before="80"/>
        <w:jc w:val="left"/>
      </w:pPr>
      <w:r>
        <w:rPr>
          <w:rFonts w:ascii="Arial" w:cs="Arial" w:eastAsia="Arial" w:hAnsi="Arial"/>
          <w:sz w:val="22"/>
          <w:szCs w:val="22"/>
        </w:rPr>
        <w:t xml:space="preserve">3. Hoadley KA, et al. (2018). Cell-of-Origin Patterns Dominate the Molecular Classification of 10,000 Tumors from 33 Types of Cancer. Cell, 173(2), 291-304.</w:t>
      </w:r>
    </w:p>
    <w:p>
      <w:pPr>
        <w:spacing w:after="80" w:before="80"/>
        <w:jc w:val="left"/>
      </w:pPr>
      <w:r>
        <w:rPr>
          <w:rFonts w:ascii="Arial" w:cs="Arial" w:eastAsia="Arial" w:hAnsi="Arial"/>
          <w:sz w:val="22"/>
          <w:szCs w:val="22"/>
        </w:rPr>
        <w:t xml:space="preserve">4. Hu J, et al. (2018). Squeeze-and-Excitation Networks. CVPR 2018.</w:t>
      </w:r>
    </w:p>
    <w:p>
      <w:pPr>
        <w:spacing w:after="80" w:before="80"/>
        <w:jc w:val="left"/>
      </w:pPr>
      <w:r>
        <w:rPr>
          <w:rFonts w:ascii="Arial" w:cs="Arial" w:eastAsia="Arial" w:hAnsi="Arial"/>
          <w:sz w:val="22"/>
          <w:szCs w:val="22"/>
        </w:rPr>
        <w:t xml:space="preserve">5. Zhang H, et al. (2018). mixup: Beyond Empirical Risk Minimization. ICLR 2018.</w:t>
      </w:r>
    </w:p>
    <w:p>
      <w:pPr>
        <w:spacing w:after="80" w:before="80"/>
        <w:jc w:val="left"/>
      </w:pPr>
      <w:r>
        <w:rPr>
          <w:rFonts w:ascii="Arial" w:cs="Arial" w:eastAsia="Arial" w:hAnsi="Arial"/>
          <w:sz w:val="22"/>
          <w:szCs w:val="22"/>
        </w:rPr>
        <w:t xml:space="preserve">6. Guo C, et al. (2017). On Calibration of Modern Neural Networks. ICML 2017.</w:t>
      </w:r>
    </w:p>
    <w:p>
      <w:pPr>
        <w:spacing w:after="80" w:before="80"/>
        <w:jc w:val="left"/>
      </w:pPr>
      <w:r>
        <w:rPr>
          <w:rFonts w:ascii="Arial" w:cs="Arial" w:eastAsia="Arial" w:hAnsi="Arial"/>
          <w:sz w:val="22"/>
          <w:szCs w:val="22"/>
        </w:rPr>
        <w:t xml:space="preserve">7. Chawla NV, et al. (2002). SMOTE: Synthetic Minority Over-sampling Technique. JAIR 16, 321-357.</w:t>
      </w:r>
    </w:p>
    <w:p>
      <w:pPr>
        <w:spacing w:after="80" w:before="80"/>
        <w:jc w:val="left"/>
      </w:pPr>
      <w:r>
        <w:rPr>
          <w:rFonts w:ascii="Arial" w:cs="Arial" w:eastAsia="Arial" w:hAnsi="Arial"/>
          <w:sz w:val="22"/>
          <w:szCs w:val="22"/>
        </w:rPr>
        <w:t xml:space="preserve">8. The Cancer Genome Atlas Research Network. (2013). The Cancer Genome Atlas Pan-Cancer Analysis Project. Nature Genetics, 45(10), 1113-1120.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55555"/>
        <w:sz w:val="18"/>
        <w:szCs w:val="18"/>
      </w:rPr>
      <w:t xml:space="preserve">TCGA Pan-Cancer Classification — Full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2026-04-25T01:34:50.033Z</dcterms:created>
  <dcterms:modified xsi:type="dcterms:W3CDTF">2026-04-25T01:34:50.033Z</dcterms:modified>
</cp:coreProperties>
</file>

<file path=docProps/custom.xml><?xml version="1.0" encoding="utf-8"?>
<Properties xmlns="http://schemas.openxmlformats.org/officeDocument/2006/custom-properties" xmlns:vt="http://schemas.openxmlformats.org/officeDocument/2006/docPropsVTypes"/>
</file>