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120" w:before="0"/>
        <w:jc w:val="center"/>
      </w:pPr>
      <w:r>
        <w:rPr>
          <w:rFonts w:ascii="Arial" w:cs="Arial" w:eastAsia="Arial" w:hAnsi="Arial"/>
          <w:b/>
          <w:bCs/>
          <w:color w:val="1F4E79"/>
          <w:sz w:val="44"/>
          <w:szCs w:val="44"/>
        </w:rPr>
        <w:t xml:space="preserve">Professor Q&amp;A Preparation Guide</w:t>
      </w:r>
    </w:p>
    <w:p>
      <w:pPr>
        <w:spacing w:after="240" w:before="0"/>
        <w:jc w:val="center"/>
      </w:pPr>
      <w:r>
        <w:rPr>
          <w:rFonts w:ascii="Arial" w:cs="Arial" w:eastAsia="Arial" w:hAnsi="Arial"/>
          <w:b/>
          <w:bCs/>
          <w:color w:val="2E75B6"/>
          <w:sz w:val="32"/>
          <w:szCs w:val="32"/>
        </w:rPr>
        <w:t xml:space="preserve">TCGA Pan-Cancer Gene Expression Classification</w:t>
      </w:r>
    </w:p>
    <w:p>
      <w:pPr>
        <w:pBdr>
          <w:bottom w:val="single" w:color="2E75B6" w:sz="6" w:space="1"/>
        </w:pBdr>
        <w:spacing w:after="360" w:before="0"/>
        <w:jc w:val="center"/>
      </w:pPr>
      <w:r>
        <w:rPr>
          <w:sz w:val="22"/>
          <w:szCs w:val="22"/>
        </w:rPr>
        <w:t xml:space="preserve"/>
      </w:r>
    </w:p>
    <w:p>
      <w:pPr>
        <w:spacing w:after="40" w:before="40"/>
      </w:pPr>
      <w:r>
        <w:t xml:space="preserve"/>
      </w:r>
    </w:p>
    <w:p>
      <w:pPr>
        <w:spacing w:after="40" w:before="4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750"/>
        <w:gridCol w:w="1750"/>
        <w:gridCol w:w="1750"/>
        <w:gridCol w:w="1750"/>
      </w:tblGrid>
      <w:tr>
        <w:tc>
          <w:tcPr>
            <w:tcW w:type="dxa" w:w="175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center"/>
            </w:pPr>
            <w:r>
              <w:rPr>
                <w:rFonts w:ascii="Arial" w:cs="Arial" w:eastAsia="Arial" w:hAnsi="Arial"/>
                <w:b/>
                <w:bCs/>
                <w:color w:val="2E75B6"/>
                <w:sz w:val="20"/>
                <w:szCs w:val="20"/>
              </w:rPr>
              <w:t xml:space="preserve">Conceptual</w:t>
            </w:r>
          </w:p>
        </w:tc>
        <w:tc>
          <w:tcPr>
            <w:tcW w:type="dxa" w:w="1750"/>
            <w:tcBorders>
              <w:top w:val="single" w:color="CCCCCC" w:sz="1"/>
              <w:left w:val="single" w:color="CCCCCC" w:sz="1"/>
              <w:bottom w:val="single" w:color="CCCCCC" w:sz="1"/>
              <w:right w:val="single" w:color="CCCCCC" w:sz="1"/>
            </w:tcBorders>
            <w:shd w:fill="E8F5ED" w:val="clear"/>
            <w:tcMar>
              <w:top w:type="dxa" w:w="100"/>
              <w:left w:type="dxa" w:w="120"/>
              <w:bottom w:type="dxa" w:w="100"/>
              <w:right w:type="dxa" w:w="120"/>
            </w:tcMar>
          </w:tcPr>
          <w:p>
            <w:pPr>
              <w:jc w:val="center"/>
            </w:pPr>
            <w:r>
              <w:rPr>
                <w:rFonts w:ascii="Arial" w:cs="Arial" w:eastAsia="Arial" w:hAnsi="Arial"/>
                <w:b/>
                <w:bCs/>
                <w:color w:val="1E6B3C"/>
                <w:sz w:val="20"/>
                <w:szCs w:val="20"/>
              </w:rPr>
              <w:t xml:space="preserve">Methods</w:t>
            </w:r>
          </w:p>
        </w:tc>
        <w:tc>
          <w:tcPr>
            <w:tcW w:type="dxa" w:w="1750"/>
            <w:tcBorders>
              <w:top w:val="single" w:color="CCCCCC" w:sz="1"/>
              <w:left w:val="single" w:color="CCCCCC" w:sz="1"/>
              <w:bottom w:val="single" w:color="CCCCCC" w:sz="1"/>
              <w:right w:val="single" w:color="CCCCCC" w:sz="1"/>
            </w:tcBorders>
            <w:shd w:fill="FFF8E7" w:val="clear"/>
            <w:tcMar>
              <w:top w:type="dxa" w:w="100"/>
              <w:left w:type="dxa" w:w="120"/>
              <w:bottom w:type="dxa" w:w="100"/>
              <w:right w:type="dxa" w:w="120"/>
            </w:tcMar>
          </w:tcPr>
          <w:p>
            <w:pPr>
              <w:jc w:val="center"/>
            </w:pPr>
            <w:r>
              <w:rPr>
                <w:rFonts w:ascii="Arial" w:cs="Arial" w:eastAsia="Arial" w:hAnsi="Arial"/>
                <w:b/>
                <w:bCs/>
                <w:color w:val="7B4F00"/>
                <w:sz w:val="20"/>
                <w:szCs w:val="20"/>
              </w:rPr>
              <w:t xml:space="preserve">Results</w:t>
            </w:r>
          </w:p>
        </w:tc>
        <w:tc>
          <w:tcPr>
            <w:tcW w:type="dxa" w:w="1750"/>
            <w:tcBorders>
              <w:top w:val="single" w:color="CCCCCC" w:sz="1"/>
              <w:left w:val="single" w:color="CCCCCC" w:sz="1"/>
              <w:bottom w:val="single" w:color="CCCCCC" w:sz="1"/>
              <w:right w:val="single" w:color="CCCCCC" w:sz="1"/>
            </w:tcBorders>
            <w:shd w:fill="FFF0F0" w:val="clear"/>
            <w:tcMar>
              <w:top w:type="dxa" w:w="100"/>
              <w:left w:type="dxa" w:w="120"/>
              <w:bottom w:type="dxa" w:w="100"/>
              <w:right w:type="dxa" w:w="120"/>
            </w:tcMar>
          </w:tcPr>
          <w:p>
            <w:pPr>
              <w:jc w:val="center"/>
            </w:pPr>
            <w:r>
              <w:rPr>
                <w:rFonts w:ascii="Arial" w:cs="Arial" w:eastAsia="Arial" w:hAnsi="Arial"/>
                <w:b/>
                <w:bCs/>
                <w:color w:val="6B1E1E"/>
                <w:sz w:val="20"/>
                <w:szCs w:val="20"/>
              </w:rPr>
              <w:t xml:space="preserve">Critical</w:t>
            </w:r>
          </w:p>
        </w:tc>
      </w:tr>
    </w:tbl>
    <w:p>
      <w:pPr>
        <w:spacing w:after="40" w:before="40"/>
      </w:pPr>
      <w:r>
        <w:t xml:space="preserve"/>
      </w:r>
    </w:p>
    <w:p>
      <w:pPr>
        <w:spacing w:after="80" w:before="80"/>
        <w:jc w:val="center"/>
      </w:pPr>
      <w:r>
        <w:rPr>
          <w:rFonts w:ascii="Arial" w:cs="Arial" w:eastAsia="Arial" w:hAnsi="Arial"/>
          <w:color w:val="555555"/>
          <w:sz w:val="22"/>
          <w:szCs w:val="22"/>
        </w:rPr>
        <w:t xml:space="preserve">Color coding indicates question category — use this to prepare by topic area</w:t>
      </w:r>
    </w:p>
    <w:p>
      <w:pPr>
        <w:spacing w:after="40" w:before="40"/>
      </w:pPr>
      <w:r>
        <w:t xml:space="preserve"/>
      </w:r>
    </w:p>
    <w:p>
      <w:pPr>
        <w:spacing w:after="40" w:before="40"/>
      </w:pPr>
      <w:r>
        <w:t xml:space="preserve"/>
      </w:r>
    </w:p>
    <w:p>
      <w:pPr>
        <w:spacing w:after="60" w:before="80"/>
        <w:jc w:val="center"/>
      </w:pPr>
      <w:r>
        <w:rPr>
          <w:rFonts w:ascii="Arial" w:cs="Arial" w:eastAsia="Arial" w:hAnsi="Arial"/>
          <w:color w:val="555555"/>
          <w:sz w:val="24"/>
          <w:szCs w:val="24"/>
        </w:rPr>
        <w:t xml:space="preserve">BIO Final Project  |  Long Island University  |  April 2026</w:t>
      </w:r>
    </w:p>
    <w:p>
      <w:r>
        <w:br w:type="page"/>
      </w:r>
    </w:p>
    <w:p>
      <w:pPr>
        <w:sectPr>
          <w:pgSz w:w="12240" w:h="15840" w:orient="portrait"/>
          <w:pgMar w:top="1440" w:right="1440" w:bottom="1440" w:left="1440" w:header="708" w:footer="708" w:gutter="0"/>
          <w:pgNumType/>
          <w:docGrid w:linePitch="360"/>
        </w:sectPr>
      </w:pPr>
    </w:p>
    <w:p>
      <w:pPr>
        <w:spacing w:after="80" w:before="80"/>
      </w:pPr>
      <w:r>
        <w:rPr>
          <w:rFonts w:ascii="Arial" w:cs="Arial" w:eastAsia="Arial" w:hAnsi="Arial"/>
          <w:sz w:val="22"/>
          <w:szCs w:val="22"/>
        </w:rPr>
        <w:t xml:space="preserve">This guide prepares you to answer any question your professor might ask about your TCGA pan-cancer deep learning project. Questions are organized by category. Read the question box first — then the answer below it is exactly how you should respond: confident, specific, and backed by numbers.</w:t>
      </w:r>
    </w:p>
    <w:p>
      <w:pPr>
        <w:spacing w:after="40" w:before="40"/>
      </w:pPr>
      <w:r>
        <w:t xml:space="preserve"/>
      </w:r>
    </w:p>
    <w:p>
      <w:pPr>
        <w:pStyle w:val="Heading1"/>
        <w:spacing w:after="120" w:before="360"/>
      </w:pPr>
      <w:r>
        <w:rPr>
          <w:rFonts w:ascii="Arial" w:cs="Arial" w:eastAsia="Arial" w:hAnsi="Arial"/>
          <w:b/>
          <w:bCs/>
          <w:color w:val="1F4E79"/>
          <w:sz w:val="32"/>
          <w:szCs w:val="32"/>
        </w:rPr>
        <w:t xml:space="preserve">Section 1: Conceptual / Background Questions</w:t>
      </w:r>
    </w:p>
    <w:p>
      <w:pPr>
        <w:spacing w:after="80" w:before="80"/>
      </w:pPr>
      <w:r>
        <w:rPr>
          <w:rFonts w:ascii="Arial" w:cs="Arial" w:eastAsia="Arial" w:hAnsi="Arial"/>
          <w:sz w:val="22"/>
          <w:szCs w:val="22"/>
        </w:rPr>
        <w:t xml:space="preserve">These questions test whether you understand the biology and motivation behind the project.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2E75B6"/>
                <w:sz w:val="23"/>
                <w:szCs w:val="23"/>
              </w:rPr>
              <w:t xml:space="preserve">Q1: </w:t>
            </w:r>
            <w:r>
              <w:rPr>
                <w:rFonts w:ascii="Arial" w:cs="Arial" w:eastAsia="Arial" w:hAnsi="Arial"/>
                <w:b/>
                <w:bCs/>
                <w:color w:val="2E75B6"/>
                <w:sz w:val="23"/>
                <w:szCs w:val="23"/>
              </w:rPr>
              <w:t xml:space="preserve">What exactly is TCGA and why did you use this dataset?</w:t>
            </w:r>
          </w:p>
        </w:tc>
      </w:tr>
    </w:tbl>
    <w:p>
      <w:pPr>
        <w:spacing w:after="70" w:before="70"/>
        <w:jc w:val="both"/>
      </w:pPr>
      <w:r>
        <w:rPr>
          <w:rFonts w:ascii="Arial" w:cs="Arial" w:eastAsia="Arial" w:hAnsi="Arial"/>
          <w:sz w:val="22"/>
          <w:szCs w:val="22"/>
        </w:rPr>
        <w:t xml:space="preserve">TCGA stands for The Cancer Genome Atlas — it's a landmark NIH-funded program that comprehensively profiled over 11,000 cancer patient samples across 33 cancer types using multiple molecular technologies. We used the HiSeqV2 RNA-Seq dataset from TCGA because it is the largest, most comprehensive, and most cited pan-cancer molecular dataset publicly available. It gives us 10,459 samples with 20,530 gene expression measurements each, covering 32 distinct cancer types — which is exactly the kind of large, diverse dataset needed to train a reliable deep learning model. It's also the same dataset used in the primary papers we're comparing against, so our results are directly comparable.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2E75B6"/>
                <w:sz w:val="23"/>
                <w:szCs w:val="23"/>
              </w:rPr>
              <w:t xml:space="preserve">Q2: </w:t>
            </w:r>
            <w:r>
              <w:rPr>
                <w:rFonts w:ascii="Arial" w:cs="Arial" w:eastAsia="Arial" w:hAnsi="Arial"/>
                <w:b/>
                <w:bCs/>
                <w:color w:val="2E75B6"/>
                <w:sz w:val="23"/>
                <w:szCs w:val="23"/>
              </w:rPr>
              <w:t xml:space="preserve">What is RNA-Seq and why is gene expression useful for cancer classification?</w:t>
            </w:r>
          </w:p>
        </w:tc>
      </w:tr>
    </w:tbl>
    <w:p>
      <w:pPr>
        <w:spacing w:after="70" w:before="70"/>
        <w:jc w:val="both"/>
      </w:pPr>
      <w:r>
        <w:rPr>
          <w:rFonts w:ascii="Arial" w:cs="Arial" w:eastAsia="Arial" w:hAnsi="Arial"/>
          <w:sz w:val="22"/>
          <w:szCs w:val="22"/>
        </w:rPr>
        <w:t xml:space="preserve">RNA-Seq (RNA Sequencing) is a next-generation sequencing technology that measures the activity level of every gene in a cell simultaneously. When a gene is active, it produces mRNA transcripts — RNA-Seq quantifies how many transcripts are present for each gene. This gives us a snapshot of which genes are turned on or off, and at what level, in a tumor cell. This is useful for cancer classification because different cancer types have fundamentally different transcriptional programs. A breast tumor has high expression of hormone receptor genes like ESR1 and PGR. A prostate tumor over-expresses KLK3 (the PSA gene) and androgen receptor. A thyroid tumor has completely different expression patterns. These signatures are so distinct that they can serve as molecular fingerprints to identify the cancer type — even before a pathologist looks at the tissue under a microscope.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2E75B6"/>
                <w:sz w:val="23"/>
                <w:szCs w:val="23"/>
              </w:rPr>
              <w:t xml:space="preserve">Q3: </w:t>
            </w:r>
            <w:r>
              <w:rPr>
                <w:rFonts w:ascii="Arial" w:cs="Arial" w:eastAsia="Arial" w:hAnsi="Arial"/>
                <w:b/>
                <w:bCs/>
                <w:color w:val="2E75B6"/>
                <w:sz w:val="23"/>
                <w:szCs w:val="23"/>
              </w:rPr>
              <w:t xml:space="preserve">Why is pan-cancer classification a hard problem?</w:t>
            </w:r>
          </w:p>
        </w:tc>
      </w:tr>
    </w:tbl>
    <w:p>
      <w:pPr>
        <w:spacing w:after="70" w:before="70"/>
        <w:jc w:val="both"/>
      </w:pPr>
      <w:r>
        <w:rPr>
          <w:rFonts w:ascii="Arial" w:cs="Arial" w:eastAsia="Arial" w:hAnsi="Arial"/>
          <w:sz w:val="22"/>
          <w:szCs w:val="22"/>
        </w:rPr>
        <w:t xml:space="preserve">There are three main challenges. First, the dimensionality is extreme — 20,530 features per sample, but most are noisy or irrelevant to classification. The model must identify the small subset of informative genes. Second, severe class imbalance — some cancers like BRCA have over 1,000 samples while rare cancers like CHOL or UVM have fewer than 80. This biases models toward common cancers and leads to poor performance on rare ones. Third, some cancer pairs are genuinely biologically similar — for example, lung adenocarcinoma and lung squamous cell carcinoma both originate in the lung but have different transcriptional programs; or rectum and colon cancers are so molecularly similar they're nearly indistinguishable. These overlapping signatures make perfect classification physically impossible without additional information.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2E75B6"/>
                <w:sz w:val="23"/>
                <w:szCs w:val="23"/>
              </w:rPr>
              <w:t xml:space="preserve">Q4: </w:t>
            </w:r>
            <w:r>
              <w:rPr>
                <w:rFonts w:ascii="Arial" w:cs="Arial" w:eastAsia="Arial" w:hAnsi="Arial"/>
                <w:b/>
                <w:bCs/>
                <w:color w:val="2E75B6"/>
                <w:sz w:val="23"/>
                <w:szCs w:val="23"/>
              </w:rPr>
              <w:t xml:space="preserve">What is Mostavi et al. and how does your work relate to it?</w:t>
            </w:r>
          </w:p>
        </w:tc>
      </w:tr>
    </w:tbl>
    <w:p>
      <w:pPr>
        <w:spacing w:after="70" w:before="70"/>
        <w:jc w:val="both"/>
      </w:pPr>
      <w:r>
        <w:rPr>
          <w:rFonts w:ascii="Arial" w:cs="Arial" w:eastAsia="Arial" w:hAnsi="Arial"/>
          <w:sz w:val="22"/>
          <w:szCs w:val="22"/>
        </w:rPr>
        <w:t xml:space="preserve">Mostavi et al. (2020) published a paper called "Convolutional neural network models for cancer type prediction based on gene expression" — it's the primary prior work in this exact problem domain, using the same TCGA dataset. Their key finding was that CNNs outperform traditional machine learning (SVM, random forests) for pan-cancer classification. However, their work had a notable failure: READ (rectum adenocarcinoma) was classified with F1 of only 0.40 — far below every other cancer type. Our work directly builds on and improves Mostavi's approach in three ways: (1) we address the READ/COAD confusion biologically by merging them into one colorectal class, (2) we use an ensemble of five models rather than a single model, and (3) we add TTA, calibration, and optimized ensemble weights. We treat Mostavi as our primary baseline for comparison.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2E75B6"/>
                <w:sz w:val="23"/>
                <w:szCs w:val="23"/>
              </w:rPr>
              <w:t xml:space="preserve">Q5: </w:t>
            </w:r>
            <w:r>
              <w:rPr>
                <w:rFonts w:ascii="Arial" w:cs="Arial" w:eastAsia="Arial" w:hAnsi="Arial"/>
                <w:b/>
                <w:bCs/>
                <w:color w:val="2E75B6"/>
                <w:sz w:val="23"/>
                <w:szCs w:val="23"/>
              </w:rPr>
              <w:t xml:space="preserve">Why did you merge READ and COAD into one class?</w:t>
            </w:r>
          </w:p>
        </w:tc>
      </w:tr>
    </w:tbl>
    <w:p>
      <w:pPr>
        <w:spacing w:after="70" w:before="70"/>
        <w:jc w:val="both"/>
      </w:pPr>
      <w:r>
        <w:rPr>
          <w:rFonts w:ascii="Arial" w:cs="Arial" w:eastAsia="Arial" w:hAnsi="Arial"/>
          <w:sz w:val="22"/>
          <w:szCs w:val="22"/>
        </w:rPr>
        <w:t xml:space="preserve">This is one of our most important decisions, and it's grounded in biology, not just modeling convenience. READ (rectum adenocarcinoma) and COAD (colon adenocarcinoma) both originate from the colorectal epithelium and are indistinguishable at the gene expression level. A landmark 2018 TCGA study by Hoadley et al. — analyzing all 33 cancer types — showed that READ and COAD form a single molecular cluster in every pan-cancer analysis. Clinically, they are staged and treated identically: same TNM staging system, same chemotherapy (FOLFOX, FOLFIRI), same targeted agents (bevacizumab, cetuximab). The original TCGA separation is anatomical, not molecular. The consequence in Mostavi's work was F1 = 0.40 for READ — the model could not learn to distinguish them because there is essentially nothing to distinguish at the transcriptomic level. By merging them, our colorectal class achieves F1 = 0.9924. This is not cheating — it is applying biological knowledge to correct an artificial label boundary.</w:t>
      </w:r>
    </w:p>
    <w:p>
      <w:pPr>
        <w:spacing w:after="40" w:before="40"/>
      </w:pPr>
      <w:r>
        <w:t xml:space="preserve"/>
      </w:r>
    </w:p>
    <w:p>
      <w:r>
        <w:br w:type="page"/>
      </w:r>
    </w:p>
    <w:p>
      <w:pPr>
        <w:pStyle w:val="Heading1"/>
        <w:spacing w:after="120" w:before="360"/>
      </w:pPr>
      <w:r>
        <w:rPr>
          <w:rFonts w:ascii="Arial" w:cs="Arial" w:eastAsia="Arial" w:hAnsi="Arial"/>
          <w:b/>
          <w:bCs/>
          <w:color w:val="1F4E79"/>
          <w:sz w:val="32"/>
          <w:szCs w:val="32"/>
        </w:rPr>
        <w:t xml:space="preserve">Section 2: Methodology Questions</w:t>
      </w:r>
    </w:p>
    <w:p>
      <w:pPr>
        <w:spacing w:after="80" w:before="80"/>
      </w:pPr>
      <w:r>
        <w:rPr>
          <w:rFonts w:ascii="Arial" w:cs="Arial" w:eastAsia="Arial" w:hAnsi="Arial"/>
          <w:sz w:val="22"/>
          <w:szCs w:val="22"/>
        </w:rPr>
        <w:t xml:space="preserve">These questions test your understanding of the technical design choices.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D" w:val="clear"/>
            <w:tcMar>
              <w:top w:type="dxa" w:w="120"/>
              <w:left w:type="dxa" w:w="180"/>
              <w:bottom w:type="dxa" w:w="120"/>
              <w:right w:type="dxa" w:w="180"/>
            </w:tcMar>
          </w:tcPr>
          <w:p>
            <w:r>
              <w:rPr>
                <w:rFonts w:ascii="Arial" w:cs="Arial" w:eastAsia="Arial" w:hAnsi="Arial"/>
                <w:b/>
                <w:bCs/>
                <w:color w:val="1E6B3C"/>
                <w:sz w:val="23"/>
                <w:szCs w:val="23"/>
              </w:rPr>
              <w:t xml:space="preserve">Q6: </w:t>
            </w:r>
            <w:r>
              <w:rPr>
                <w:rFonts w:ascii="Arial" w:cs="Arial" w:eastAsia="Arial" w:hAnsi="Arial"/>
                <w:b/>
                <w:bCs/>
                <w:color w:val="1E6B3C"/>
                <w:sz w:val="23"/>
                <w:szCs w:val="23"/>
              </w:rPr>
              <w:t xml:space="preserve">Why did you use a 1D-CNN instead of a fully connected network or other architectures?</w:t>
            </w:r>
          </w:p>
        </w:tc>
      </w:tr>
    </w:tbl>
    <w:p>
      <w:pPr>
        <w:spacing w:after="70" w:before="70"/>
        <w:jc w:val="both"/>
      </w:pPr>
      <w:r>
        <w:rPr>
          <w:rFonts w:ascii="Arial" w:cs="Arial" w:eastAsia="Arial" w:hAnsi="Arial"/>
          <w:sz w:val="22"/>
          <w:szCs w:val="22"/>
        </w:rPr>
        <w:t xml:space="preserve">We chose a 1D-CNN for several reasons. First, the input is a 1D array of 20,530 gene expression values — a 1D-CNN is the natural architecture for 1D sequential data. Second, genes near each other on the genome often co-regulate due to chromosomal proximity and shared regulatory elements (synteny). A CNN's local convolutional filters can capture these local co-expression patterns. Third, fully connected networks on 20,530 inputs would have enormous parameter counts and overfit severely. CNNs share weights across positions (translation invariance), drastically reducing parameters while maintaining expressiveness. Fourth, Mostavi et al. already validated that CNNs outperform SVM and random forests on this exact dataset, so we had prior evidence supporting this architectural family.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D" w:val="clear"/>
            <w:tcMar>
              <w:top w:type="dxa" w:w="120"/>
              <w:left w:type="dxa" w:w="180"/>
              <w:bottom w:type="dxa" w:w="120"/>
              <w:right w:type="dxa" w:w="180"/>
            </w:tcMar>
          </w:tcPr>
          <w:p>
            <w:r>
              <w:rPr>
                <w:rFonts w:ascii="Arial" w:cs="Arial" w:eastAsia="Arial" w:hAnsi="Arial"/>
                <w:b/>
                <w:bCs/>
                <w:color w:val="1E6B3C"/>
                <w:sz w:val="23"/>
                <w:szCs w:val="23"/>
              </w:rPr>
              <w:t xml:space="preserve">Q7: </w:t>
            </w:r>
            <w:r>
              <w:rPr>
                <w:rFonts w:ascii="Arial" w:cs="Arial" w:eastAsia="Arial" w:hAnsi="Arial"/>
                <w:b/>
                <w:bCs/>
                <w:color w:val="1E6B3C"/>
                <w:sz w:val="23"/>
                <w:szCs w:val="23"/>
              </w:rPr>
              <w:t xml:space="preserve">What are Squeeze-Excitation blocks and why did you include them?</w:t>
            </w:r>
          </w:p>
        </w:tc>
      </w:tr>
    </w:tbl>
    <w:p>
      <w:pPr>
        <w:spacing w:after="70" w:before="70"/>
        <w:jc w:val="both"/>
      </w:pPr>
      <w:r>
        <w:rPr>
          <w:rFonts w:ascii="Arial" w:cs="Arial" w:eastAsia="Arial" w:hAnsi="Arial"/>
          <w:sz w:val="22"/>
          <w:szCs w:val="22"/>
        </w:rPr>
        <w:t xml:space="preserve">Squeeze-Excitation blocks, introduced by Hu et al. in 2018, add channel-wise attention to CNN layers. After each convolutional block produces a set of feature maps (channels), the SE block compresses each channel to a single scalar by global average pooling — that's the "squeeze." Then it passes these scalars through two small fully connected layers and a sigmoid activation to generate a weight between 0 and 1 for each channel — that's the "excitation." Finally, it multiplies each channel by its learned weight, amplifying important channels and suppressing irrelevant ones. For our problem, this means the model can learn to focus on gene expression channels most predictive of each cancer type. The biological interpretation is elegant: the model is effectively learning which gene groups matter most for classification. SE blocks add very few parameters (about 2×C²/r where r=16 is the reduction ratio) but consistently improve accuracy in CNN models.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D" w:val="clear"/>
            <w:tcMar>
              <w:top w:type="dxa" w:w="120"/>
              <w:left w:type="dxa" w:w="180"/>
              <w:bottom w:type="dxa" w:w="120"/>
              <w:right w:type="dxa" w:w="180"/>
            </w:tcMar>
          </w:tcPr>
          <w:p>
            <w:r>
              <w:rPr>
                <w:rFonts w:ascii="Arial" w:cs="Arial" w:eastAsia="Arial" w:hAnsi="Arial"/>
                <w:b/>
                <w:bCs/>
                <w:color w:val="1E6B3C"/>
                <w:sz w:val="23"/>
                <w:szCs w:val="23"/>
              </w:rPr>
              <w:t xml:space="preserve">Q8: </w:t>
            </w:r>
            <w:r>
              <w:rPr>
                <w:rFonts w:ascii="Arial" w:cs="Arial" w:eastAsia="Arial" w:hAnsi="Arial"/>
                <w:b/>
                <w:bCs/>
                <w:color w:val="1E6B3C"/>
                <w:sz w:val="23"/>
                <w:szCs w:val="23"/>
              </w:rPr>
              <w:t xml:space="preserve">What is MixUp and why did you use it?</w:t>
            </w:r>
          </w:p>
        </w:tc>
      </w:tr>
    </w:tbl>
    <w:p>
      <w:pPr>
        <w:spacing w:after="70" w:before="70"/>
        <w:jc w:val="both"/>
      </w:pPr>
      <w:r>
        <w:rPr>
          <w:rFonts w:ascii="Arial" w:cs="Arial" w:eastAsia="Arial" w:hAnsi="Arial"/>
          <w:sz w:val="22"/>
          <w:szCs w:val="22"/>
        </w:rPr>
        <w:t xml:space="preserve">MixUp is a data augmentation technique where you create new training samples by linearly interpolating between two real samples and their labels. If sample A is a breast cancer sample and sample B is a lung cancer sample, MixUp creates a new sample that is, say, 70% A + 30% B, with a label of 70% breast cancer + 30% lung cancer. The model then learns to make predictions on these blended inputs with blended labels — called soft targets. The benefits are: (1) it acts as a regularizer, preventing the model from memorizing specific training samples, (2) it improves generalization by encouraging the model to learn linear relationships in feature space, (3) combined with label smoothing, it makes the model less overconfident. The mixing coefficient lambda is drawn from a Beta(0.2, 0.2) distribution, which mostly produces values close to 0 or 1 with occasional intermediate values — so most training samples are close to one of the originals, not a wildly unrealistic blend.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D" w:val="clear"/>
            <w:tcMar>
              <w:top w:type="dxa" w:w="120"/>
              <w:left w:type="dxa" w:w="180"/>
              <w:bottom w:type="dxa" w:w="120"/>
              <w:right w:type="dxa" w:w="180"/>
            </w:tcMar>
          </w:tcPr>
          <w:p>
            <w:r>
              <w:rPr>
                <w:rFonts w:ascii="Arial" w:cs="Arial" w:eastAsia="Arial" w:hAnsi="Arial"/>
                <w:b/>
                <w:bCs/>
                <w:color w:val="1E6B3C"/>
                <w:sz w:val="23"/>
                <w:szCs w:val="23"/>
              </w:rPr>
              <w:t xml:space="preserve">Q9: </w:t>
            </w:r>
            <w:r>
              <w:rPr>
                <w:rFonts w:ascii="Arial" w:cs="Arial" w:eastAsia="Arial" w:hAnsi="Arial"/>
                <w:b/>
                <w:bCs/>
                <w:color w:val="1E6B3C"/>
                <w:sz w:val="23"/>
                <w:szCs w:val="23"/>
              </w:rPr>
              <w:t xml:space="preserve">What is SMOTE and why do you need it here?</w:t>
            </w:r>
          </w:p>
        </w:tc>
      </w:tr>
    </w:tbl>
    <w:p>
      <w:pPr>
        <w:spacing w:after="70" w:before="70"/>
        <w:jc w:val="both"/>
      </w:pPr>
      <w:r>
        <w:rPr>
          <w:rFonts w:ascii="Arial" w:cs="Arial" w:eastAsia="Arial" w:hAnsi="Arial"/>
          <w:sz w:val="22"/>
          <w:szCs w:val="22"/>
        </w:rPr>
        <w:t xml:space="preserve">SMOTE stands for Synthetic Minority Oversampling Technique. The core problem is class imbalance — some cancer types have very few training samples (e.g., UVM might have 50 samples, BRCA has over 700). Without correction, the model will optimize for common classes and essentially ignore rare ones. Simple oversampling (copying minority samples) risks overfitting to those exact samples. SMOTE instead creates new synthetic minority samples by interpolating between existing ones in feature space. For each minority sample, it finds its k=3 nearest neighbors and creates new samples along the line segments between them. We apply SMOTE to any training class with fewer than 400 samples, bringing it up to 400. Importantly, SMOTE is applied only to the training set — never validation or test — to prevent data leakage.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D" w:val="clear"/>
            <w:tcMar>
              <w:top w:type="dxa" w:w="120"/>
              <w:left w:type="dxa" w:w="180"/>
              <w:bottom w:type="dxa" w:w="120"/>
              <w:right w:type="dxa" w:w="180"/>
            </w:tcMar>
          </w:tcPr>
          <w:p>
            <w:r>
              <w:rPr>
                <w:rFonts w:ascii="Arial" w:cs="Arial" w:eastAsia="Arial" w:hAnsi="Arial"/>
                <w:b/>
                <w:bCs/>
                <w:color w:val="1E6B3C"/>
                <w:sz w:val="23"/>
                <w:szCs w:val="23"/>
              </w:rPr>
              <w:t xml:space="preserve">Q10: </w:t>
            </w:r>
            <w:r>
              <w:rPr>
                <w:rFonts w:ascii="Arial" w:cs="Arial" w:eastAsia="Arial" w:hAnsi="Arial"/>
                <w:b/>
                <w:bCs/>
                <w:color w:val="1E6B3C"/>
                <w:sz w:val="23"/>
                <w:szCs w:val="23"/>
              </w:rPr>
              <w:t xml:space="preserve">Why did you train five models instead of one? What's the benefit of an ensemble?</w:t>
            </w:r>
          </w:p>
        </w:tc>
      </w:tr>
    </w:tbl>
    <w:p>
      <w:pPr>
        <w:spacing w:after="70" w:before="70"/>
        <w:jc w:val="both"/>
      </w:pPr>
      <w:r>
        <w:rPr>
          <w:rFonts w:ascii="Arial" w:cs="Arial" w:eastAsia="Arial" w:hAnsi="Arial"/>
          <w:sz w:val="22"/>
          <w:szCs w:val="22"/>
        </w:rPr>
        <w:t xml:space="preserve">Training five models is grounded in statistical learning theory. Any single model is subject to random variation — the random seed affects weight initialization, batch ordering, and data augmentation, leading to different local minima in the loss landscape. This variation is called variance: different runs of the same algorithm give slightly different predictions. An ensemble averages over this variance. If each model makes different errors (which they do — different seeds, different augmented batches), those errors partially cancel out when you average predictions. The more diverse the models, the more cancellation you get. With five seeds (42, 123, 456, 789, 999), we get 5 meaningfully different models. We also go further: instead of equal-weight averaging, we use Nelder-Mead optimization on the validation set to find the best weight for each model, which gives seed 789 the highest weight (0.3321) because it happened to find a better optimum.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D" w:val="clear"/>
            <w:tcMar>
              <w:top w:type="dxa" w:w="120"/>
              <w:left w:type="dxa" w:w="180"/>
              <w:bottom w:type="dxa" w:w="120"/>
              <w:right w:type="dxa" w:w="180"/>
            </w:tcMar>
          </w:tcPr>
          <w:p>
            <w:r>
              <w:rPr>
                <w:rFonts w:ascii="Arial" w:cs="Arial" w:eastAsia="Arial" w:hAnsi="Arial"/>
                <w:b/>
                <w:bCs/>
                <w:color w:val="1E6B3C"/>
                <w:sz w:val="23"/>
                <w:szCs w:val="23"/>
              </w:rPr>
              <w:t xml:space="preserve">Q11: </w:t>
            </w:r>
            <w:r>
              <w:rPr>
                <w:rFonts w:ascii="Arial" w:cs="Arial" w:eastAsia="Arial" w:hAnsi="Arial"/>
                <w:b/>
                <w:bCs/>
                <w:color w:val="1E6B3C"/>
                <w:sz w:val="23"/>
                <w:szCs w:val="23"/>
              </w:rPr>
              <w:t xml:space="preserve">What is Test-Time Augmentation (TTA)?</w:t>
            </w:r>
          </w:p>
        </w:tc>
      </w:tr>
    </w:tbl>
    <w:p>
      <w:pPr>
        <w:spacing w:after="70" w:before="70"/>
        <w:jc w:val="both"/>
      </w:pPr>
      <w:r>
        <w:rPr>
          <w:rFonts w:ascii="Arial" w:cs="Arial" w:eastAsia="Arial" w:hAnsi="Arial"/>
          <w:sz w:val="22"/>
          <w:szCs w:val="22"/>
        </w:rPr>
        <w:t xml:space="preserve">TTA means making multiple predictions for each test sample instead of one. For each test sample, we add a small amount of random Gaussian noise (sigma = 0.02) and get a prediction — we do this 10 times and average the 10 probability vectors. The intuition is: the input gene expression measurement itself has technical noise, so making predictions across multiple slightly different versions of the same sample and averaging them produces a more stable and reliable probability estimate. It's particularly helpful for borderline cases near decision boundaries, where the model's prediction is inherently uncertain. The combined result: 5 models × 10 TTA passes = 50 predictions per test sample, averaged.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D" w:val="clear"/>
            <w:tcMar>
              <w:top w:type="dxa" w:w="120"/>
              <w:left w:type="dxa" w:w="180"/>
              <w:bottom w:type="dxa" w:w="120"/>
              <w:right w:type="dxa" w:w="180"/>
            </w:tcMar>
          </w:tcPr>
          <w:p>
            <w:r>
              <w:rPr>
                <w:rFonts w:ascii="Arial" w:cs="Arial" w:eastAsia="Arial" w:hAnsi="Arial"/>
                <w:b/>
                <w:bCs/>
                <w:color w:val="1E6B3C"/>
                <w:sz w:val="23"/>
                <w:szCs w:val="23"/>
              </w:rPr>
              <w:t xml:space="preserve">Q12: </w:t>
            </w:r>
            <w:r>
              <w:rPr>
                <w:rFonts w:ascii="Arial" w:cs="Arial" w:eastAsia="Arial" w:hAnsi="Arial"/>
                <w:b/>
                <w:bCs/>
                <w:color w:val="1E6B3C"/>
                <w:sz w:val="23"/>
                <w:szCs w:val="23"/>
              </w:rPr>
              <w:t xml:space="preserve">What is temperature scaling and why does it matter?</w:t>
            </w:r>
          </w:p>
        </w:tc>
      </w:tr>
    </w:tbl>
    <w:p>
      <w:pPr>
        <w:spacing w:after="70" w:before="70"/>
        <w:jc w:val="both"/>
      </w:pPr>
      <w:r>
        <w:rPr>
          <w:rFonts w:ascii="Arial" w:cs="Arial" w:eastAsia="Arial" w:hAnsi="Arial"/>
          <w:sz w:val="22"/>
          <w:szCs w:val="22"/>
        </w:rPr>
        <w:t xml:space="preserve">Temperature scaling is a probability calibration technique. Neural networks are often overconfident — they output probabilities like 0.99 even when they're only 85% accurate on those cases. This is a problem for medical AI because if a clinician sees a 99% confidence score, they may not seek a second opinion when they should. Temperature scaling fixes this by dividing the model's logits (pre-softmax values) by a learned temperature T before taking softmax. A T greater than 1 spreads the probability distribution, reducing overconfidence. Our optimal T = 1.006 — very close to 1 — indicating our model was only very slightly overconfident, which itself is a good sign. The temperature is optimized on the validation set to minimize expected calibration error.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D" w:val="clear"/>
            <w:tcMar>
              <w:top w:type="dxa" w:w="120"/>
              <w:left w:type="dxa" w:w="180"/>
              <w:bottom w:type="dxa" w:w="120"/>
              <w:right w:type="dxa" w:w="180"/>
            </w:tcMar>
          </w:tcPr>
          <w:p>
            <w:r>
              <w:rPr>
                <w:rFonts w:ascii="Arial" w:cs="Arial" w:eastAsia="Arial" w:hAnsi="Arial"/>
                <w:b/>
                <w:bCs/>
                <w:color w:val="1E6B3C"/>
                <w:sz w:val="23"/>
                <w:szCs w:val="23"/>
              </w:rPr>
              <w:t xml:space="preserve">Q13: </w:t>
            </w:r>
            <w:r>
              <w:rPr>
                <w:rFonts w:ascii="Arial" w:cs="Arial" w:eastAsia="Arial" w:hAnsi="Arial"/>
                <w:b/>
                <w:bCs/>
                <w:color w:val="1E6B3C"/>
                <w:sz w:val="23"/>
                <w:szCs w:val="23"/>
              </w:rPr>
              <w:t xml:space="preserve">What loss function did you use and why?</w:t>
            </w:r>
          </w:p>
        </w:tc>
      </w:tr>
    </w:tbl>
    <w:p>
      <w:pPr>
        <w:spacing w:after="70" w:before="70"/>
        <w:jc w:val="both"/>
      </w:pPr>
      <w:r>
        <w:rPr>
          <w:rFonts w:ascii="Arial" w:cs="Arial" w:eastAsia="Arial" w:hAnsi="Arial"/>
          <w:sz w:val="22"/>
          <w:szCs w:val="22"/>
        </w:rPr>
        <w:t xml:space="preserve">We used cross-entropy loss applied to soft targets from MixUp, with label smoothing of 0.1. Standard cross-entropy compares the model's predicted probability distribution to a one-hot label. With MixUp, the targets are already soft (e.g., 0.7 breast cancer, 0.3 lung cancer), so cross-entropy naturally handles that. Label smoothing further softens the targets — instead of 1.0 for the correct class, it's 0.9, with 0.1 distributed uniformly across all 32 classes. This prevents the model from learning to output extreme probabilities (log-probabilities approaching negative infinity for wrong classes), which would cause numerical instability and overconfidence. The combined effect is a training signal that encourages reasonable confidence levels rather than extreme certainty.</w:t>
      </w:r>
    </w:p>
    <w:p>
      <w:pPr>
        <w:spacing w:after="40" w:before="40"/>
      </w:pPr>
      <w:r>
        <w:t xml:space="preserve"/>
      </w:r>
    </w:p>
    <w:p>
      <w:r>
        <w:br w:type="page"/>
      </w:r>
    </w:p>
    <w:p>
      <w:pPr>
        <w:pStyle w:val="Heading1"/>
        <w:spacing w:after="120" w:before="360"/>
      </w:pPr>
      <w:r>
        <w:rPr>
          <w:rFonts w:ascii="Arial" w:cs="Arial" w:eastAsia="Arial" w:hAnsi="Arial"/>
          <w:b/>
          <w:bCs/>
          <w:color w:val="1F4E79"/>
          <w:sz w:val="32"/>
          <w:szCs w:val="32"/>
        </w:rPr>
        <w:t xml:space="preserve">Section 3: Results and Evaluation Questions</w:t>
      </w:r>
    </w:p>
    <w:p>
      <w:pPr>
        <w:spacing w:after="80" w:before="80"/>
      </w:pPr>
      <w:r>
        <w:rPr>
          <w:rFonts w:ascii="Arial" w:cs="Arial" w:eastAsia="Arial" w:hAnsi="Arial"/>
          <w:sz w:val="22"/>
          <w:szCs w:val="22"/>
        </w:rPr>
        <w:t xml:space="preserve">These questions test whether you can interpret and defend your experimental results.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180"/>
              <w:bottom w:type="dxa" w:w="120"/>
              <w:right w:type="dxa" w:w="180"/>
            </w:tcMar>
          </w:tcPr>
          <w:p>
            <w:r>
              <w:rPr>
                <w:rFonts w:ascii="Arial" w:cs="Arial" w:eastAsia="Arial" w:hAnsi="Arial"/>
                <w:b/>
                <w:bCs/>
                <w:color w:val="7B4F00"/>
                <w:sz w:val="23"/>
                <w:szCs w:val="23"/>
              </w:rPr>
              <w:t xml:space="preserve">Q14: </w:t>
            </w:r>
            <w:r>
              <w:rPr>
                <w:rFonts w:ascii="Arial" w:cs="Arial" w:eastAsia="Arial" w:hAnsi="Arial"/>
                <w:b/>
                <w:bCs/>
                <w:color w:val="7B4F00"/>
                <w:sz w:val="23"/>
                <w:szCs w:val="23"/>
              </w:rPr>
              <w:t xml:space="preserve">What accuracy did you achieve and what does it mean?</w:t>
            </w:r>
          </w:p>
        </w:tc>
      </w:tr>
    </w:tbl>
    <w:p>
      <w:pPr>
        <w:spacing w:after="70" w:before="70"/>
        <w:jc w:val="both"/>
      </w:pPr>
      <w:r>
        <w:rPr>
          <w:rFonts w:ascii="Arial" w:cs="Arial" w:eastAsia="Arial" w:hAnsi="Arial"/>
          <w:sz w:val="22"/>
          <w:szCs w:val="22"/>
        </w:rPr>
        <w:t xml:space="preserve">Our final ensemble achieved 94.33% test accuracy on the held-out test set. This means that 94.33% of patient samples were correctly classified into their true cancer type out of 32 possible types. To contextualize: random chance would give about 3% accuracy (1/32). Mostavi et al.'s single-model CNN achieved approximately 90-93% on 33 classes. Our 94.33% on 32 classes (with the biologically motivated READ/COAD merge) represents a meaningful improvement. But I want to be careful about comparing accuracy across different class counts — that's why we also report Macro F1 (0.9250), which averages performance equally across all 32 classes, and Mean ROC-AUC (0.9957), which measures discrimination ability. All three metrics are strong.</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180"/>
              <w:bottom w:type="dxa" w:w="120"/>
              <w:right w:type="dxa" w:w="180"/>
            </w:tcMar>
          </w:tcPr>
          <w:p>
            <w:r>
              <w:rPr>
                <w:rFonts w:ascii="Arial" w:cs="Arial" w:eastAsia="Arial" w:hAnsi="Arial"/>
                <w:b/>
                <w:bCs/>
                <w:color w:val="7B4F00"/>
                <w:sz w:val="23"/>
                <w:szCs w:val="23"/>
              </w:rPr>
              <w:t xml:space="preserve">Q15: </w:t>
            </w:r>
            <w:r>
              <w:rPr>
                <w:rFonts w:ascii="Arial" w:cs="Arial" w:eastAsia="Arial" w:hAnsi="Arial"/>
                <w:b/>
                <w:bCs/>
                <w:color w:val="7B4F00"/>
                <w:sz w:val="23"/>
                <w:szCs w:val="23"/>
              </w:rPr>
              <w:t xml:space="preserve">Why do you report Macro F1 instead of just accuracy?</w:t>
            </w:r>
          </w:p>
        </w:tc>
      </w:tr>
    </w:tbl>
    <w:p>
      <w:pPr>
        <w:spacing w:after="70" w:before="70"/>
        <w:jc w:val="both"/>
      </w:pPr>
      <w:r>
        <w:rPr>
          <w:rFonts w:ascii="Arial" w:cs="Arial" w:eastAsia="Arial" w:hAnsi="Arial"/>
          <w:sz w:val="22"/>
          <w:szCs w:val="22"/>
        </w:rPr>
        <w:t xml:space="preserve">Accuracy can be misleading when classes are imbalanced. If 20% of our test samples are BRCA and the model gets all BRCA samples right but fails on rare cancers, accuracy looks high while performance on rare cancers is terrible. Macro F1 averages the F1 score of each class equally — every one of the 32 cancer types contributes equally regardless of how many samples it has. Our Macro F1 of 0.9250 means that averaged across all 32 cancer types, F1 is 0.925. This is a much more honest assessment of clinical utility than accuracy alone, because in a real setting we care about classifying every cancer type correctly, not just the common ones.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180"/>
              <w:bottom w:type="dxa" w:w="120"/>
              <w:right w:type="dxa" w:w="180"/>
            </w:tcMar>
          </w:tcPr>
          <w:p>
            <w:r>
              <w:rPr>
                <w:rFonts w:ascii="Arial" w:cs="Arial" w:eastAsia="Arial" w:hAnsi="Arial"/>
                <w:b/>
                <w:bCs/>
                <w:color w:val="7B4F00"/>
                <w:sz w:val="23"/>
                <w:szCs w:val="23"/>
              </w:rPr>
              <w:t xml:space="preserve">Q16: </w:t>
            </w:r>
            <w:r>
              <w:rPr>
                <w:rFonts w:ascii="Arial" w:cs="Arial" w:eastAsia="Arial" w:hAnsi="Arial"/>
                <w:b/>
                <w:bCs/>
                <w:color w:val="7B4F00"/>
                <w:sz w:val="23"/>
                <w:szCs w:val="23"/>
              </w:rPr>
              <w:t xml:space="preserve">Why does ACC (adrenocortical carcinoma) perform so poorly at F1 = 0.5455?</w:t>
            </w:r>
          </w:p>
        </w:tc>
      </w:tr>
    </w:tbl>
    <w:p>
      <w:pPr>
        <w:spacing w:after="70" w:before="70"/>
        <w:jc w:val="both"/>
      </w:pPr>
      <w:r>
        <w:rPr>
          <w:rFonts w:ascii="Arial" w:cs="Arial" w:eastAsia="Arial" w:hAnsi="Arial"/>
          <w:sz w:val="22"/>
          <w:szCs w:val="22"/>
        </w:rPr>
        <w:t xml:space="preserve">ACC is the most challenging class for three compounding reasons. First, it has very few samples in TCGA — fewer than 100 total, meaning the training set might have 60-70 real samples. No amount of SMOTE can fully compensate for so little signal. Second, ACC's gene expression profile overlaps with kidney cancers and other endocrine tumors, so the model has genuinely ambiguous boundary cases. Third, SMOTE's synthetic samples for ACC are generated from very few real examples, so the synthetic distribution may not accurately represent the true ACC population. Improving ACC would require either more real ACC samples (a data problem) or specialized few-shot learning techniques designed for extreme class imbalance. Every other class achieves at least F1 = 0.72, so ACC is clearly the outlier.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180"/>
              <w:bottom w:type="dxa" w:w="120"/>
              <w:right w:type="dxa" w:w="180"/>
            </w:tcMar>
          </w:tcPr>
          <w:p>
            <w:r>
              <w:rPr>
                <w:rFonts w:ascii="Arial" w:cs="Arial" w:eastAsia="Arial" w:hAnsi="Arial"/>
                <w:b/>
                <w:bCs/>
                <w:color w:val="7B4F00"/>
                <w:sz w:val="23"/>
                <w:szCs w:val="23"/>
              </w:rPr>
              <w:t xml:space="preserve">Q17: </w:t>
            </w:r>
            <w:r>
              <w:rPr>
                <w:rFonts w:ascii="Arial" w:cs="Arial" w:eastAsia="Arial" w:hAnsi="Arial"/>
                <w:b/>
                <w:bCs/>
                <w:color w:val="7B4F00"/>
                <w:sz w:val="23"/>
                <w:szCs w:val="23"/>
              </w:rPr>
              <w:t xml:space="preserve">Which cancer types did your model classify perfectly and why?</w:t>
            </w:r>
          </w:p>
        </w:tc>
      </w:tr>
    </w:tbl>
    <w:p>
      <w:pPr>
        <w:spacing w:after="70" w:before="70"/>
        <w:jc w:val="both"/>
      </w:pPr>
      <w:r>
        <w:rPr>
          <w:rFonts w:ascii="Arial" w:cs="Arial" w:eastAsia="Arial" w:hAnsi="Arial"/>
          <w:sz w:val="22"/>
          <w:szCs w:val="22"/>
        </w:rPr>
        <w:t xml:space="preserve">Seven cancer types achieved F1 = 1.0000: THCA (Thyroid), PRAD (Prostate), PCPG (Pheochromocytoma/Paraganglioma), LAML (Acute Myeloid Leukemia), LUAD (Lung Adenocarcinoma), STAD (Stomach Adenocarcinoma), and CHOL (Cholangiocarcinoma). These are cancers with highly distinctive and unique gene expression signatures. For example, LAML is a blood cancer — its expression profile is fundamentally different from all solid tumors, making it trivially separable. THCA has strong thyroid-specific gene expression patterns. PRAD highly over-expresses KLK3 and androgen receptor genes, which are unique to prostate tissue. These biological distinctiveness explains the perfect classification — the model had very clear, consistent signal to learn from.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180"/>
              <w:bottom w:type="dxa" w:w="120"/>
              <w:right w:type="dxa" w:w="180"/>
            </w:tcMar>
          </w:tcPr>
          <w:p>
            <w:r>
              <w:rPr>
                <w:rFonts w:ascii="Arial" w:cs="Arial" w:eastAsia="Arial" w:hAnsi="Arial"/>
                <w:b/>
                <w:bCs/>
                <w:color w:val="7B4F00"/>
                <w:sz w:val="23"/>
                <w:szCs w:val="23"/>
              </w:rPr>
              <w:t xml:space="preserve">Q18: </w:t>
            </w:r>
            <w:r>
              <w:rPr>
                <w:rFonts w:ascii="Arial" w:cs="Arial" w:eastAsia="Arial" w:hAnsi="Arial"/>
                <w:b/>
                <w:bCs/>
                <w:color w:val="7B4F00"/>
                <w:sz w:val="23"/>
                <w:szCs w:val="23"/>
              </w:rPr>
              <w:t xml:space="preserve">How does your ROC-AUC of 0.9957 compare to what you would expect?</w:t>
            </w:r>
          </w:p>
        </w:tc>
      </w:tr>
    </w:tbl>
    <w:p>
      <w:pPr>
        <w:spacing w:after="70" w:before="70"/>
        <w:jc w:val="both"/>
      </w:pPr>
      <w:r>
        <w:rPr>
          <w:rFonts w:ascii="Arial" w:cs="Arial" w:eastAsia="Arial" w:hAnsi="Arial"/>
          <w:sz w:val="22"/>
          <w:szCs w:val="22"/>
        </w:rPr>
        <w:t xml:space="preserve">ROC-AUC of 0.9957 out of a maximum of 1.0 is near-perfect discrimination ability. We compute this in a one-vs-rest fashion for each of the 32 classes — for each cancer type, we ask: can the model separate samples of that type from all other types? A score of 0.9957 means the model's probability score for the true class is higher than for a randomly chosen negative sample 99.57% of the time. This is an excellent result and reflects that even for cancer types where the categorical prediction is sometimes wrong, the model still assigns meaningfully higher probability to the correct class. It suggests that with appropriate probability thresholds, clinical decision support applications could leverage our model's confidence estimates.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180"/>
              <w:bottom w:type="dxa" w:w="120"/>
              <w:right w:type="dxa" w:w="180"/>
            </w:tcMar>
          </w:tcPr>
          <w:p>
            <w:r>
              <w:rPr>
                <w:rFonts w:ascii="Arial" w:cs="Arial" w:eastAsia="Arial" w:hAnsi="Arial"/>
                <w:b/>
                <w:bCs/>
                <w:color w:val="7B4F00"/>
                <w:sz w:val="23"/>
                <w:szCs w:val="23"/>
              </w:rPr>
              <w:t xml:space="preserve">Q19: </w:t>
            </w:r>
            <w:r>
              <w:rPr>
                <w:rFonts w:ascii="Arial" w:cs="Arial" w:eastAsia="Arial" w:hAnsi="Arial"/>
                <w:b/>
                <w:bCs/>
                <w:color w:val="7B4F00"/>
                <w:sz w:val="23"/>
                <w:szCs w:val="23"/>
              </w:rPr>
              <w:t xml:space="preserve">Did your ensemble actually improve over single models?</w:t>
            </w:r>
          </w:p>
        </w:tc>
      </w:tr>
    </w:tbl>
    <w:p>
      <w:pPr>
        <w:spacing w:after="70" w:before="70"/>
        <w:jc w:val="both"/>
      </w:pPr>
      <w:r>
        <w:rPr>
          <w:rFonts w:ascii="Arial" w:cs="Arial" w:eastAsia="Arial" w:hAnsi="Arial"/>
          <w:sz w:val="22"/>
          <w:szCs w:val="22"/>
        </w:rPr>
        <w:t xml:space="preserve">Yes, clearly. Each individual model (e.g., Seed 42) achieves around 92.42% accuracy with Macro F1 of 0.9096. The final ensemble achieves 94.33% accuracy and Macro F1 of 0.9250 — roughly 2 percentage points improvement in accuracy and about 0.015 improvement in Macro F1. The equal-weight ensemble baseline was 94.52%, and our Nelder-Mead optimized weighted ensemble is 94.33% — slightly different due to calibration blending. The key insight is that 5 models making different errors average out their individual weaknesses, producing consistently better performance than any single model.</w:t>
      </w:r>
    </w:p>
    <w:p>
      <w:pPr>
        <w:spacing w:after="40" w:before="40"/>
      </w:pPr>
      <w:r>
        <w:t xml:space="preserve"/>
      </w:r>
    </w:p>
    <w:p>
      <w:r>
        <w:br w:type="page"/>
      </w:r>
    </w:p>
    <w:p>
      <w:pPr>
        <w:pStyle w:val="Heading1"/>
        <w:spacing w:after="120" w:before="360"/>
      </w:pPr>
      <w:r>
        <w:rPr>
          <w:rFonts w:ascii="Arial" w:cs="Arial" w:eastAsia="Arial" w:hAnsi="Arial"/>
          <w:b/>
          <w:bCs/>
          <w:color w:val="1F4E79"/>
          <w:sz w:val="32"/>
          <w:szCs w:val="32"/>
        </w:rPr>
        <w:t xml:space="preserve">Section 4: Comparison and Novelty Questions</w:t>
      </w:r>
    </w:p>
    <w:p>
      <w:pPr>
        <w:spacing w:after="80" w:before="80"/>
      </w:pPr>
      <w:r>
        <w:rPr>
          <w:rFonts w:ascii="Arial" w:cs="Arial" w:eastAsia="Arial" w:hAnsi="Arial"/>
          <w:sz w:val="22"/>
          <w:szCs w:val="22"/>
        </w:rPr>
        <w:t xml:space="preserve">These questions test whether you can clearly articulate what is new or better about your work.</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D" w:val="clear"/>
            <w:tcMar>
              <w:top w:type="dxa" w:w="120"/>
              <w:left w:type="dxa" w:w="180"/>
              <w:bottom w:type="dxa" w:w="120"/>
              <w:right w:type="dxa" w:w="180"/>
            </w:tcMar>
          </w:tcPr>
          <w:p>
            <w:r>
              <w:rPr>
                <w:rFonts w:ascii="Arial" w:cs="Arial" w:eastAsia="Arial" w:hAnsi="Arial"/>
                <w:b/>
                <w:bCs/>
                <w:color w:val="1E6B3C"/>
                <w:sz w:val="23"/>
                <w:szCs w:val="23"/>
              </w:rPr>
              <w:t xml:space="preserve">Q20: </w:t>
            </w:r>
            <w:r>
              <w:rPr>
                <w:rFonts w:ascii="Arial" w:cs="Arial" w:eastAsia="Arial" w:hAnsi="Arial"/>
                <w:b/>
                <w:bCs/>
                <w:color w:val="1E6B3C"/>
                <w:sz w:val="23"/>
                <w:szCs w:val="23"/>
              </w:rPr>
              <w:t xml:space="preserve">What is the single most important contribution of your work compared to Mostavi?</w:t>
            </w:r>
          </w:p>
        </w:tc>
      </w:tr>
    </w:tbl>
    <w:p>
      <w:pPr>
        <w:spacing w:after="70" w:before="70"/>
        <w:jc w:val="both"/>
      </w:pPr>
      <w:r>
        <w:rPr>
          <w:rFonts w:ascii="Arial" w:cs="Arial" w:eastAsia="Arial" w:hAnsi="Arial"/>
          <w:sz w:val="22"/>
          <w:szCs w:val="22"/>
        </w:rPr>
        <w:t xml:space="preserve">The most impactful contribution is the READ/COAD merge. In Mostavi's work, READ has F1 = 0.40 — the worst-performing class by far. Rather than accepting this as an inherent failure, we traced it to a biological reality: rectum and colon adenocarcinomas are transcriptomically indistinguishable. By merging them into one colorectal class, we eliminate the most confusing artificial boundary in the dataset. The result: our CRC class achieves F1 = 0.9924. This single decision improves the practical utility of the model substantially. The second most important contribution is the ensemble framework — five models with TTA and optimized weights — which adds roughly 2% accuracy on top of a single model.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180"/>
              <w:bottom w:type="dxa" w:w="120"/>
              <w:right w:type="dxa" w:w="180"/>
            </w:tcMar>
          </w:tcPr>
          <w:p>
            <w:r>
              <w:rPr>
                <w:rFonts w:ascii="Arial" w:cs="Arial" w:eastAsia="Arial" w:hAnsi="Arial"/>
                <w:b/>
                <w:bCs/>
                <w:color w:val="7B4F00"/>
                <w:sz w:val="23"/>
                <w:szCs w:val="23"/>
              </w:rPr>
              <w:t xml:space="preserve">Q21: </w:t>
            </w:r>
            <w:r>
              <w:rPr>
                <w:rFonts w:ascii="Arial" w:cs="Arial" w:eastAsia="Arial" w:hAnsi="Arial"/>
                <w:b/>
                <w:bCs/>
                <w:color w:val="7B4F00"/>
                <w:sz w:val="23"/>
                <w:szCs w:val="23"/>
              </w:rPr>
              <w:t xml:space="preserve">How does your approach compare to the Ramirez GCNN that uses protein interaction networks?</w:t>
            </w:r>
          </w:p>
        </w:tc>
      </w:tr>
    </w:tbl>
    <w:p>
      <w:pPr>
        <w:spacing w:after="70" w:before="70"/>
        <w:jc w:val="both"/>
      </w:pPr>
      <w:r>
        <w:rPr>
          <w:rFonts w:ascii="Arial" w:cs="Arial" w:eastAsia="Arial" w:hAnsi="Arial"/>
          <w:sz w:val="22"/>
          <w:szCs w:val="22"/>
        </w:rPr>
        <w:t xml:space="preserve">Ramirez et al. build a Graph Convolutional Neural Network that incorporates protein-protein interaction (PPI) networks as structural priors — essentially telling the model which genes interact biologically. Their approach is more biologically informed at the input level, but it requires PPI data in addition to gene expression. Despite this biological prior, their model still shows READ/COAD confusion, which confirms our hypothesis that this confusion is transcriptomic, not model-dependent. Our approach achieves competitive performance using only gene expression data (no PPI network), which is simpler and more generalizable. We use SE blocks to let the model learn which genes are important from data rather than hard-coding network structure, which may actually be more flexible for discovering novel gene relationships.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120"/>
              <w:left w:type="dxa" w:w="180"/>
              <w:bottom w:type="dxa" w:w="120"/>
              <w:right w:type="dxa" w:w="180"/>
            </w:tcMar>
          </w:tcPr>
          <w:p>
            <w:r>
              <w:rPr>
                <w:rFonts w:ascii="Arial" w:cs="Arial" w:eastAsia="Arial" w:hAnsi="Arial"/>
                <w:b/>
                <w:bCs/>
                <w:color w:val="6B1E1E"/>
                <w:sz w:val="23"/>
                <w:szCs w:val="23"/>
              </w:rPr>
              <w:t xml:space="preserve">Q22: </w:t>
            </w:r>
            <w:r>
              <w:rPr>
                <w:rFonts w:ascii="Arial" w:cs="Arial" w:eastAsia="Arial" w:hAnsi="Arial"/>
                <w:b/>
                <w:bCs/>
                <w:color w:val="6B1E1E"/>
                <w:sz w:val="23"/>
                <w:szCs w:val="23"/>
              </w:rPr>
              <w:t xml:space="preserve">Is merging READ and COAD valid, or is it just making the problem easier?</w:t>
            </w:r>
          </w:p>
        </w:tc>
      </w:tr>
    </w:tbl>
    <w:p>
      <w:pPr>
        <w:spacing w:after="70" w:before="70"/>
        <w:jc w:val="both"/>
      </w:pPr>
      <w:r>
        <w:rPr>
          <w:rFonts w:ascii="Arial" w:cs="Arial" w:eastAsia="Arial" w:hAnsi="Arial"/>
          <w:sz w:val="22"/>
          <w:szCs w:val="22"/>
        </w:rPr>
        <w:t xml:space="preserve">This is a fair challenge, and the answer is: it is scientifically valid, not just a shortcut. The key justification is that the merged class is biologically real. Multiple independent molecular analyses — including Hoadley et al. 2018, the definitive TCGA Pan-Cancer paper — show READ and COAD are a single molecular entity. Clinically, no oncologist distinguishes colon from rectal cancer for treatment purposes. The TCGA labeled them separately for anatomical/anatomic registry reasons, not molecular reasons. In machine learning terms, we are correcting an annotation error. A label should correspond to a coherent, learnable category. If two labels are biologically indistinguishable in the feature space, having them as separate labels only adds irreducible classification error. Our merge produces a 32-class problem that is better aligned with biological reality than the original 33-class problem.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D" w:val="clear"/>
            <w:tcMar>
              <w:top w:type="dxa" w:w="120"/>
              <w:left w:type="dxa" w:w="180"/>
              <w:bottom w:type="dxa" w:w="120"/>
              <w:right w:type="dxa" w:w="180"/>
            </w:tcMar>
          </w:tcPr>
          <w:p>
            <w:r>
              <w:rPr>
                <w:rFonts w:ascii="Arial" w:cs="Arial" w:eastAsia="Arial" w:hAnsi="Arial"/>
                <w:b/>
                <w:bCs/>
                <w:color w:val="1E6B3C"/>
                <w:sz w:val="23"/>
                <w:szCs w:val="23"/>
              </w:rPr>
              <w:t xml:space="preserve">Q23: </w:t>
            </w:r>
            <w:r>
              <w:rPr>
                <w:rFonts w:ascii="Arial" w:cs="Arial" w:eastAsia="Arial" w:hAnsi="Arial"/>
                <w:b/>
                <w:bCs/>
                <w:color w:val="1E6B3C"/>
                <w:sz w:val="23"/>
                <w:szCs w:val="23"/>
              </w:rPr>
              <w:t xml:space="preserve">Could you have used a transformer instead of a CNN? Would it have been better?</w:t>
            </w:r>
          </w:p>
        </w:tc>
      </w:tr>
    </w:tbl>
    <w:p>
      <w:pPr>
        <w:spacing w:after="70" w:before="70"/>
        <w:jc w:val="both"/>
      </w:pPr>
      <w:r>
        <w:rPr>
          <w:rFonts w:ascii="Arial" w:cs="Arial" w:eastAsia="Arial" w:hAnsi="Arial"/>
          <w:sz w:val="22"/>
          <w:szCs w:val="22"/>
        </w:rPr>
        <w:t xml:space="preserve">Transformers with self-attention are theoretically more expressive than CNNs for capturing long-range dependencies. For gene expression data, a transformer could in principle learn relationships between genes far apart in the genome. However, there are practical challenges: the input sequence is 20,530 tokens long, and standard transformer self-attention is O(n²) in sequence length — that's over 400 million attention weights per layer, making it prohibitively expensive. Recent efficient transformer variants (Linformer, Performer, Longformer) reduce this complexity, but they were beyond the scope of this project. Our 1D-CNN with SE attention is a pragmatic balance: we capture local gene co-expression patterns with convolution and add channel-wise attention with SE blocks, achieving strong performance at reasonable computational cost. A transformer extension would be a natural future direction.</w:t>
      </w:r>
    </w:p>
    <w:p>
      <w:pPr>
        <w:spacing w:after="40" w:before="40"/>
      </w:pPr>
      <w:r>
        <w:t xml:space="preserve"/>
      </w:r>
    </w:p>
    <w:p>
      <w:r>
        <w:br w:type="page"/>
      </w:r>
    </w:p>
    <w:p>
      <w:pPr>
        <w:pStyle w:val="Heading1"/>
        <w:spacing w:after="120" w:before="360"/>
      </w:pPr>
      <w:r>
        <w:rPr>
          <w:rFonts w:ascii="Arial" w:cs="Arial" w:eastAsia="Arial" w:hAnsi="Arial"/>
          <w:b/>
          <w:bCs/>
          <w:color w:val="1F4E79"/>
          <w:sz w:val="32"/>
          <w:szCs w:val="32"/>
        </w:rPr>
        <w:t xml:space="preserve">Section 5: Critical and Limitations Questions</w:t>
      </w:r>
    </w:p>
    <w:p>
      <w:pPr>
        <w:spacing w:after="80" w:before="80"/>
      </w:pPr>
      <w:r>
        <w:rPr>
          <w:rFonts w:ascii="Arial" w:cs="Arial" w:eastAsia="Arial" w:hAnsi="Arial"/>
          <w:sz w:val="22"/>
          <w:szCs w:val="22"/>
        </w:rPr>
        <w:t xml:space="preserve">These questions test intellectual honesty — your ability to identify weaknesses and future directions.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120"/>
              <w:left w:type="dxa" w:w="180"/>
              <w:bottom w:type="dxa" w:w="120"/>
              <w:right w:type="dxa" w:w="180"/>
            </w:tcMar>
          </w:tcPr>
          <w:p>
            <w:r>
              <w:rPr>
                <w:rFonts w:ascii="Arial" w:cs="Arial" w:eastAsia="Arial" w:hAnsi="Arial"/>
                <w:b/>
                <w:bCs/>
                <w:color w:val="6B1E1E"/>
                <w:sz w:val="23"/>
                <w:szCs w:val="23"/>
              </w:rPr>
              <w:t xml:space="preserve">Q24: </w:t>
            </w:r>
            <w:r>
              <w:rPr>
                <w:rFonts w:ascii="Arial" w:cs="Arial" w:eastAsia="Arial" w:hAnsi="Arial"/>
                <w:b/>
                <w:bCs/>
                <w:color w:val="6B1E1E"/>
                <w:sz w:val="23"/>
                <w:szCs w:val="23"/>
              </w:rPr>
              <w:t xml:space="preserve">What are the main limitations of your work?</w:t>
            </w:r>
          </w:p>
        </w:tc>
      </w:tr>
    </w:tbl>
    <w:p>
      <w:pPr>
        <w:spacing w:after="70" w:before="70"/>
        <w:jc w:val="both"/>
      </w:pPr>
      <w:r>
        <w:rPr>
          <w:rFonts w:ascii="Arial" w:cs="Arial" w:eastAsia="Arial" w:hAnsi="Arial"/>
          <w:sz w:val="22"/>
          <w:szCs w:val="22"/>
        </w:rPr>
        <w:t xml:space="preserve">There are four main limitations I want to be honest about. First, ACC performance at F1 = 0.5455 is poor — small sample size makes this a genuine failure case that SMOTE alone cannot fix. Second, we use only gene expression (single omics) — adding DNA methylation, copy number, or mutation data could improve performance for histologically similar cancers. Third, the model is trained exclusively on TCGA data — batch effects from different sequencing centers, sample preparation protocols, or patient populations might degrade performance on external datasets. Fourth, while our gradient-based gene importance analysis recovers known biomarkers, it is a coarse attribution method — more sophisticated techniques like Integrated Gradients or SHAP values would give more reliable gene importance scores. These are genuine limitations, not minor issues.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120"/>
              <w:left w:type="dxa" w:w="180"/>
              <w:bottom w:type="dxa" w:w="120"/>
              <w:right w:type="dxa" w:w="180"/>
            </w:tcMar>
          </w:tcPr>
          <w:p>
            <w:r>
              <w:rPr>
                <w:rFonts w:ascii="Arial" w:cs="Arial" w:eastAsia="Arial" w:hAnsi="Arial"/>
                <w:b/>
                <w:bCs/>
                <w:color w:val="6B1E1E"/>
                <w:sz w:val="23"/>
                <w:szCs w:val="23"/>
              </w:rPr>
              <w:t xml:space="preserve">Q25: </w:t>
            </w:r>
            <w:r>
              <w:rPr>
                <w:rFonts w:ascii="Arial" w:cs="Arial" w:eastAsia="Arial" w:hAnsi="Arial"/>
                <w:b/>
                <w:bCs/>
                <w:color w:val="6B1E1E"/>
                <w:sz w:val="23"/>
                <w:szCs w:val="23"/>
              </w:rPr>
              <w:t xml:space="preserve">Why does your weighted ensemble (94.33%) perform slightly worse than the equal-weight ensemble (94.52%)?</w:t>
            </w:r>
          </w:p>
        </w:tc>
      </w:tr>
    </w:tbl>
    <w:p>
      <w:pPr>
        <w:spacing w:after="70" w:before="70"/>
        <w:jc w:val="both"/>
      </w:pPr>
      <w:r>
        <w:rPr>
          <w:rFonts w:ascii="Arial" w:cs="Arial" w:eastAsia="Arial" w:hAnsi="Arial"/>
          <w:sz w:val="22"/>
          <w:szCs w:val="22"/>
        </w:rPr>
        <w:t xml:space="preserve">This is a great observation. The equal-weight ensemble baseline achieves 94.52% but the final optimized pipeline gives 94.33%. This apparent paradox happens because our final prediction blends TTA predictions (60%) with temperature-calibrated predictions (40%). The temperature-calibrated branch uses a slightly different prediction pathway, and the blend weights were set heuristically rather than optimized on the test set. The 0.19% difference is within noise levels for a dataset of this size — it corresponds to a difference of roughly 3 samples being classified differently. More importantly, the calibrated predictions have better probability accuracy (the confidence scores are more meaningful) even if raw accuracy is marginally lower. In clinical applications, calibration quality can be more important than raw accuracy.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120"/>
              <w:left w:type="dxa" w:w="180"/>
              <w:bottom w:type="dxa" w:w="120"/>
              <w:right w:type="dxa" w:w="180"/>
            </w:tcMar>
          </w:tcPr>
          <w:p>
            <w:r>
              <w:rPr>
                <w:rFonts w:ascii="Arial" w:cs="Arial" w:eastAsia="Arial" w:hAnsi="Arial"/>
                <w:b/>
                <w:bCs/>
                <w:color w:val="6B1E1E"/>
                <w:sz w:val="23"/>
                <w:szCs w:val="23"/>
              </w:rPr>
              <w:t xml:space="preserve">Q26: </w:t>
            </w:r>
            <w:r>
              <w:rPr>
                <w:rFonts w:ascii="Arial" w:cs="Arial" w:eastAsia="Arial" w:hAnsi="Arial"/>
                <w:b/>
                <w:bCs/>
                <w:color w:val="6B1E1E"/>
                <w:sz w:val="23"/>
                <w:szCs w:val="23"/>
              </w:rPr>
              <w:t xml:space="preserve">How can you be sure your model hasn't overfit to the test set?</w:t>
            </w:r>
          </w:p>
        </w:tc>
      </w:tr>
    </w:tbl>
    <w:p>
      <w:pPr>
        <w:spacing w:after="70" w:before="70"/>
        <w:jc w:val="both"/>
      </w:pPr>
      <w:r>
        <w:rPr>
          <w:rFonts w:ascii="Arial" w:cs="Arial" w:eastAsia="Arial" w:hAnsi="Arial"/>
          <w:sz w:val="22"/>
          <w:szCs w:val="22"/>
        </w:rPr>
        <w:t xml:space="preserve">We took several steps to prevent test set contamination. The test set (15% of data) was held out completely before any model training, hyperparameter selection, or preprocessing decisions. The train/validation/test split was done once using stratified sampling. Hyperparameters were tuned on the validation set only. SMOTE was applied only to training data. The ensemble weights and temperature scaling parameter were optimized on the validation set. The test set was only touched once — at final evaluation — and we report those numbers without any further tuning. The only possible concern is that the READ/COAD merge decision was made based on published biological literature (not our validation data), so it is not a data-driven decision that could cause overfitting.</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120"/>
              <w:left w:type="dxa" w:w="180"/>
              <w:bottom w:type="dxa" w:w="120"/>
              <w:right w:type="dxa" w:w="180"/>
            </w:tcMar>
          </w:tcPr>
          <w:p>
            <w:r>
              <w:rPr>
                <w:rFonts w:ascii="Arial" w:cs="Arial" w:eastAsia="Arial" w:hAnsi="Arial"/>
                <w:b/>
                <w:bCs/>
                <w:color w:val="6B1E1E"/>
                <w:sz w:val="23"/>
                <w:szCs w:val="23"/>
              </w:rPr>
              <w:t xml:space="preserve">Q27: </w:t>
            </w:r>
            <w:r>
              <w:rPr>
                <w:rFonts w:ascii="Arial" w:cs="Arial" w:eastAsia="Arial" w:hAnsi="Arial"/>
                <w:b/>
                <w:bCs/>
                <w:color w:val="6B1E1E"/>
                <w:sz w:val="23"/>
                <w:szCs w:val="23"/>
              </w:rPr>
              <w:t xml:space="preserve">Is your model clinically deployable? What would be needed before clinical use?</w:t>
            </w:r>
          </w:p>
        </w:tc>
      </w:tr>
    </w:tbl>
    <w:p>
      <w:pPr>
        <w:spacing w:after="70" w:before="70"/>
        <w:jc w:val="both"/>
      </w:pPr>
      <w:r>
        <w:rPr>
          <w:rFonts w:ascii="Arial" w:cs="Arial" w:eastAsia="Arial" w:hAnsi="Arial"/>
          <w:sz w:val="22"/>
          <w:szCs w:val="22"/>
        </w:rPr>
        <w:t xml:space="preserve">Honestly, no — not without substantially more validation. For clinical deployment, we would need: (1) external validation on at least one independent cohort from a different institution and sequencing platform to assess generalizability; (2) comparison against the clinical gold standard — pathologist diagnosis — to establish relative performance; (3) prospective evaluation in a clinical trial setting; (4) regulatory approval (FDA Class II or III medical device for diagnostic AI); (5) integration with clinical workflows and EHR systems; (6) bias assessment across demographic subgroups (age, sex, ancestry). What we have built is a research prototype that achieves state-of-the-art performance on a standard benchmark. It is a proof of concept with clinical promise, not a ready-to-deploy product.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120"/>
              <w:left w:type="dxa" w:w="180"/>
              <w:bottom w:type="dxa" w:w="120"/>
              <w:right w:type="dxa" w:w="180"/>
            </w:tcMar>
          </w:tcPr>
          <w:p>
            <w:r>
              <w:rPr>
                <w:rFonts w:ascii="Arial" w:cs="Arial" w:eastAsia="Arial" w:hAnsi="Arial"/>
                <w:b/>
                <w:bCs/>
                <w:color w:val="6B1E1E"/>
                <w:sz w:val="23"/>
                <w:szCs w:val="23"/>
              </w:rPr>
              <w:t xml:space="preserve">Q28: </w:t>
            </w:r>
            <w:r>
              <w:rPr>
                <w:rFonts w:ascii="Arial" w:cs="Arial" w:eastAsia="Arial" w:hAnsi="Arial"/>
                <w:b/>
                <w:bCs/>
                <w:color w:val="6B1E1E"/>
                <w:sz w:val="23"/>
                <w:szCs w:val="23"/>
              </w:rPr>
              <w:t xml:space="preserve">Why did you use gradient-based attribution for biomarker analysis instead of other methods?</w:t>
            </w:r>
          </w:p>
        </w:tc>
      </w:tr>
    </w:tbl>
    <w:p>
      <w:pPr>
        <w:spacing w:after="70" w:before="70"/>
        <w:jc w:val="both"/>
      </w:pPr>
      <w:r>
        <w:rPr>
          <w:rFonts w:ascii="Arial" w:cs="Arial" w:eastAsia="Arial" w:hAnsi="Arial"/>
          <w:sz w:val="22"/>
          <w:szCs w:val="22"/>
        </w:rPr>
        <w:t xml:space="preserve">Gradient-based attribution (computing the gradient of the output with respect to input gene expression) is a natural, computationally straightforward first approach for CNN interpretability. It tells us how sensitive the model's prediction is to small changes in each gene's expression. However, it has known limitations: gradients can be noisy, saturated in regions where the network is highly confident, and they measure local sensitivity rather than global feature importance. More robust alternatives include Integrated Gradients (which accumulates gradients from a baseline to the actual input), SHAP values (which compute Shapley values from cooperative game theory), or Layer-wise Relevance Propagation. We validated our approach by checking whether known cancer biomarkers appear in our top-ranked genes — they do — which provides empirical validation that the method is capturing meaningful biological signal despite its limitations.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120"/>
              <w:left w:type="dxa" w:w="180"/>
              <w:bottom w:type="dxa" w:w="120"/>
              <w:right w:type="dxa" w:w="180"/>
            </w:tcMar>
          </w:tcPr>
          <w:p>
            <w:r>
              <w:rPr>
                <w:rFonts w:ascii="Arial" w:cs="Arial" w:eastAsia="Arial" w:hAnsi="Arial"/>
                <w:b/>
                <w:bCs/>
                <w:color w:val="6B1E1E"/>
                <w:sz w:val="23"/>
                <w:szCs w:val="23"/>
              </w:rPr>
              <w:t xml:space="preserve">Q29: </w:t>
            </w:r>
            <w:r>
              <w:rPr>
                <w:rFonts w:ascii="Arial" w:cs="Arial" w:eastAsia="Arial" w:hAnsi="Arial"/>
                <w:b/>
                <w:bCs/>
                <w:color w:val="6B1E1E"/>
                <w:sz w:val="23"/>
                <w:szCs w:val="23"/>
              </w:rPr>
              <w:t xml:space="preserve">What would you do differently if you were starting this project over?</w:t>
            </w:r>
          </w:p>
        </w:tc>
      </w:tr>
    </w:tbl>
    <w:p>
      <w:pPr>
        <w:spacing w:after="70" w:before="70"/>
        <w:jc w:val="both"/>
      </w:pPr>
      <w:r>
        <w:rPr>
          <w:rFonts w:ascii="Arial" w:cs="Arial" w:eastAsia="Arial" w:hAnsi="Arial"/>
          <w:sz w:val="22"/>
          <w:szCs w:val="22"/>
        </w:rPr>
        <w:t xml:space="preserve">Three things. First, I would have explored transformer-based architectures for gene expression more systematically — the field has advanced with efficient attention mechanisms that make this feasible. Second, I would have integrated multiple omics data types from the start rather than gene expression alone; multi-omics is the direction the field is moving. Third, for the gene importance analysis, I would have implemented Integrated Gradients or SHAP values from the beginning rather than basic gradients — the biological insights from more robust attribution methods would have been more publishable and reliable. The core architecture, ensemble strategy, and READ/COAD merge decision I would keep exactly as is.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180"/>
              <w:bottom w:type="dxa" w:w="120"/>
              <w:right w:type="dxa" w:w="180"/>
            </w:tcMar>
          </w:tcPr>
          <w:p>
            <w:r>
              <w:rPr>
                <w:rFonts w:ascii="Arial" w:cs="Arial" w:eastAsia="Arial" w:hAnsi="Arial"/>
                <w:b/>
                <w:bCs/>
                <w:color w:val="7B4F00"/>
                <w:sz w:val="23"/>
                <w:szCs w:val="23"/>
              </w:rPr>
              <w:t xml:space="preserve">Q30: </w:t>
            </w:r>
            <w:r>
              <w:rPr>
                <w:rFonts w:ascii="Arial" w:cs="Arial" w:eastAsia="Arial" w:hAnsi="Arial"/>
                <w:b/>
                <w:bCs/>
                <w:color w:val="7B4F00"/>
                <w:sz w:val="23"/>
                <w:szCs w:val="23"/>
              </w:rPr>
              <w:t xml:space="preserve">How confident are you in the reproducibility of your results?</w:t>
            </w:r>
          </w:p>
        </w:tc>
      </w:tr>
    </w:tbl>
    <w:p>
      <w:pPr>
        <w:spacing w:after="70" w:before="70"/>
        <w:jc w:val="both"/>
      </w:pPr>
      <w:r>
        <w:rPr>
          <w:rFonts w:ascii="Arial" w:cs="Arial" w:eastAsia="Arial" w:hAnsi="Arial"/>
          <w:sz w:val="22"/>
          <w:szCs w:val="22"/>
        </w:rPr>
        <w:t xml:space="preserve">Very confident, for specific reasons. We fix all random seeds (5 seeds: 42, 123, 456, 789, 999) and document them explicitly. PyTorch's deterministic mode was used where possible. We save all five trained model checkpoints, all training history CSV files, optimal ensemble weights, and temperature calibration parameters. Anyone with the TCGA HiSeqV2 dataset and our codebase can reproduce the exact training process and should obtain results within the stochastic variation of GPU floating-point operations. The preprocessing notebook also includes data downloading and HDF5 creation steps, making the full pipeline reproducible from raw data. The one caveat is exact GPU reproducibility — CUDA operations have non-deterministic behavior even with fixed seeds on some hardware configurations.</w:t>
      </w:r>
    </w:p>
    <w:p>
      <w:pPr>
        <w:spacing w:after="40" w:before="40"/>
      </w:pPr>
      <w:r>
        <w:t xml:space="preserve"/>
      </w:r>
    </w:p>
    <w:p>
      <w:pPr>
        <w:spacing w:after="40" w:before="40"/>
      </w:pPr>
      <w:r>
        <w:t xml:space="preserve"/>
      </w:r>
    </w:p>
    <w:p>
      <w:pPr>
        <w:pStyle w:val="Heading1"/>
        <w:spacing w:after="120" w:before="360"/>
      </w:pPr>
      <w:r>
        <w:rPr>
          <w:rFonts w:ascii="Arial" w:cs="Arial" w:eastAsia="Arial" w:hAnsi="Arial"/>
          <w:b/>
          <w:bCs/>
          <w:color w:val="1F4E79"/>
          <w:sz w:val="32"/>
          <w:szCs w:val="32"/>
        </w:rPr>
        <w:t xml:space="preserve">Quick Reference: Key Numbers to Know</w:t>
      </w:r>
    </w:p>
    <w:p>
      <w:pPr>
        <w:spacing w:after="80" w:before="80"/>
      </w:pPr>
      <w:r>
        <w:rPr>
          <w:rFonts w:ascii="Arial" w:cs="Arial" w:eastAsia="Arial" w:hAnsi="Arial"/>
          <w:sz w:val="22"/>
          <w:szCs w:val="22"/>
        </w:rPr>
        <w:t xml:space="preserve">Memorize these before your presentation: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Test Accuracy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94.33%</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1"/>
                <w:szCs w:val="21"/>
              </w:rPr>
              <w:t xml:space="preserve">Macro F1-Score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0.9250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Mean ROC-AUC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0.9957</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1"/>
                <w:szCs w:val="21"/>
              </w:rPr>
              <w:t xml:space="preserve">Dataset: Samples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10,459</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Dataset: Genes (features)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20,530</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1"/>
                <w:szCs w:val="21"/>
              </w:rPr>
              <w:t xml:space="preserve">Number of Cancer Types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32 (after READ→COAD merge)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Models in Ensemble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5 (seeds 42, 123, 456, 789, 999)</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1"/>
                <w:szCs w:val="21"/>
              </w:rPr>
              <w:t xml:space="preserve">TTA passes per sample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10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Total predictions per sample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50 (5 models × 10 TTA)</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1"/>
                <w:szCs w:val="21"/>
              </w:rPr>
              <w:t xml:space="preserve">Temperature (calibration)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T = 1.006</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Highest ensemble weight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Seed 789: 0.3321</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1"/>
                <w:szCs w:val="21"/>
              </w:rPr>
              <w:t xml:space="preserve">Perfectly classified cancers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7 (THCA, PRAD, PCPG, LAML, LUAD, STAD, CHOL)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Worst performing class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ACC (F1 = 0.5455) — rarest cancer type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1"/>
                <w:szCs w:val="21"/>
              </w:rPr>
              <w:t xml:space="preserve">CRC F1 (after merge)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0.9924 (was ~0.40 in Mostavi for READ alone)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Training time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~67 minutes on CUDA GPU</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55555"/>
        <w:sz w:val="18"/>
        <w:szCs w:val="18"/>
      </w:rPr>
      <w:t xml:space="preserve">TCGA Project — Professor Q&amp;A Prep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2026-04-25T01:37:57.943Z</dcterms:created>
  <dcterms:modified xsi:type="dcterms:W3CDTF">2026-04-25T01:37:57.943Z</dcterms:modified>
</cp:coreProperties>
</file>

<file path=docProps/custom.xml><?xml version="1.0" encoding="utf-8"?>
<Properties xmlns="http://schemas.openxmlformats.org/officeDocument/2006/custom-properties" xmlns:vt="http://schemas.openxmlformats.org/officeDocument/2006/docPropsVTypes"/>
</file>