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TCGA Pan-Cancer Gene Expression Classification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Using Deep Learning</w:t>
      </w:r>
    </w:p>
    <w:p>
      <w:pPr>
        <w:pBdr>
          <w:bottom w:val="single" w:color="2E75B6" w:sz="6" w:space="1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Mini Summary  |  BIO Final Project  |  LIU  |  April 2026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94.33%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Test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0.9250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Macro F1-Score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0.9957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Mean ROC-AUC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D9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Cancer Types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What Is the Project?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built a deep learning system that takes a patient's gene expression profile (RNA-Seq data from TCGA) as input and automatically classifies it into one of 32 cancer types. Think of it as a molecular diagnostic tool — instead of a pathologist looking at tissue under a microscope, our model reads 20,530 gene activity measurements and predicts which cancer the patient has.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The Core Problem</w:t>
            </w:r>
          </w:p>
          <w:p>
            <w:pPr>
              <w:spacing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Given a tumor's RNA-Seq gene expression profile (20,530 values), classify it into the correct cancer type from 32 possible types. Dataset: 10,459 patient samples across 32 cancers from TCGA (The Cancer Genome Atlas).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The Dataset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TCGA HiSeqV2 RNA-Seq (UCSC Xena Hub — publicly available)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10,459 patient tumor samples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20,530 gene expression values per sample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Cancer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32 (after merging READ into COAD — explained below)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70% Train / 15% Validation / 15% Test (stratified)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Log2(x+1) normalization, StandardScaler, SMOTE for minority classes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Our Key Design Decision: Merging READ into COAD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The READ/COAD Problem</w:t>
            </w:r>
          </w:p>
          <w:p>
            <w:pPr>
              <w:spacing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prior work (Mostavi et al. 2020), rectum adenocarcinoma (READ) was the worst-classified cancer — F1 = 0.40. This is because READ and colon adenocarcinoma (COAD) are molecularly indistinguishable. A landmark 2018 TCGA study showed they form a single transcriptomic cluster. Clinically, they are treated as one colorectal entity.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merged READ into COAD to create a single Colorectal Adenocarcinoma (CRC) class. Result: our CRC class achieves F1 = 0.9924. This is scientifically justified — we are correcting an artificial label boundary, not making the problem easier.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What We Built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The Model: 1D-CNN with Squeeze-Excitation Blocks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designed a 1D Convolutional Neural Network (1D-CNN) that treats gene expression as a 1D sequence. The model has 4 convolutional blocks, each followed by a Squeeze-Excitation (SE) attention module. SE blocks let the model learn which gene groups (channels) are most important for each prediction — essentially giving the network a channel-wise attention mechanism.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Architecture 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20,530 gene expression values (1D vector)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 Block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64 filters, kernel=7 → SE attention → MaxPool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 Block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128 filters, kernel=5 → SE attention → MaxPool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 Block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256 filters, kernel=3 → SE attention → MaxPool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 Block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512 filters, kernel=3 → SE attention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Global Pooling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AvgPool + MaxPool concatenated (1024-dim)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Classifier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FC(1024→512) → FC(512→256) → FC(256→32)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0.5 after layer 1, 0.3 after layer 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Training with Data Augmentation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MixUp (α=0.2): </w:t>
      </w:r>
      <w:r>
        <w:rPr>
          <w:rFonts w:ascii="Arial" w:cs="Arial" w:eastAsia="Arial" w:hAnsi="Arial"/>
          <w:sz w:val="22"/>
          <w:szCs w:val="22"/>
        </w:rPr>
        <w:t xml:space="preserve">Interpolates between training samples and their labels to prevent overfitting and improve calibration.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Gaussian Noise (σ=0.05): </w:t>
      </w:r>
      <w:r>
        <w:rPr>
          <w:rFonts w:ascii="Arial" w:cs="Arial" w:eastAsia="Arial" w:hAnsi="Arial"/>
          <w:sz w:val="22"/>
          <w:szCs w:val="22"/>
        </w:rPr>
        <w:t xml:space="preserve">Adds noise to training inputs to simulate RNA-Seq measurement variation.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 Smoothing (0.1): </w:t>
      </w:r>
      <w:r>
        <w:rPr>
          <w:rFonts w:ascii="Arial" w:cs="Arial" w:eastAsia="Arial" w:hAnsi="Arial"/>
          <w:sz w:val="22"/>
          <w:szCs w:val="22"/>
        </w:rPr>
        <w:t xml:space="preserve">Prevents overconfidence by distributing 10% probability mass across all classes.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SMOTE: </w:t>
      </w:r>
      <w:r>
        <w:rPr>
          <w:rFonts w:ascii="Arial" w:cs="Arial" w:eastAsia="Arial" w:hAnsi="Arial"/>
          <w:sz w:val="22"/>
          <w:szCs w:val="22"/>
        </w:rPr>
        <w:t xml:space="preserve">Generates synthetic samples for cancer types with fewer than 400 training samples to handle class imbalance.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Optimizer: </w:t>
      </w:r>
      <w:r>
        <w:rPr>
          <w:rFonts w:ascii="Arial" w:cs="Arial" w:eastAsia="Arial" w:hAnsi="Arial"/>
          <w:sz w:val="22"/>
          <w:szCs w:val="22"/>
        </w:rPr>
        <w:t xml:space="preserve">AdamW with learning rate 1e-3, cosine annealing with warm restarts, early stopping (patience=40).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Five-Model Ensemble Pipeline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trained 5 separate models with different random seeds (42, 123, 456, 789, 999). These 5 models form an ensemble — their predictions are combined for the final output through a multi-stage pipeline: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Test-Time Augmentation (TTA)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 noisy forward passes per model per sample → average → 50 predictions per sample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Weighted Ensemble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Nelder-Mead optimization finds best weight per model on validation set (seed789=0.3321 highest)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Meta-Learner Stacking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Logistic Regression trained on validation predictions for alternative ensemble combination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Temperature Scaling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Calibration parameter T=1.006 corrects slight overconfidence in probability scores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Final Blend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60% TTA predictions + 40% temperature-calibrated predictions → final output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What We Achieved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Overall Performance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Our model achieves 94.33% test accuracy across 32 cancer types, with Macro F1 = 0.9250 and Mean ROC-AUC = 0.9957. Seven cancer types are classified with zero errors (F1 = 1.0). Only one cancer — ACC (adrenocortical carcinoma), the rarest in the dataset — performs poorly at F1 = 0.55.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Per-Class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 Classes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Perfect (F1 = 1.0000)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THCA, PRAD, PCPG, LAML, LUAD, STAD, CHOL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Excellent (F1 ≥ 0.95)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CRC (0.9924), PAAD (0.9818), BRCA (0.9807), TGCT (0.9796)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Moderate (F1 0.70-0.95)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LUSC (0.9333), LIHC (0.8966), ESCA (0.7692), UVM (0.7200)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Challenging (F1 &lt; 0.70)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 (0.5455) — rarest class, too few training samples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How Is This Different From Mostavi et al.?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7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Mostavi et al. (2020)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Our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Architecture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Single CNN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5× 1D-CNN with SE attention blocks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33 (READ separate)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32 (READ merged into COAD)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Ensemble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Single model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5-model weighted ensemble (Nelder-Mead)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No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Yes — 10 passes per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Calibration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No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Temperature scaling (T=1.006)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READ F1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~0.40 (worst class)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Merged — CRC F1 = 0.9924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 Augmentation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Basic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MixUp + Gaussian noise + label smoothing + SMOTE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Overall Accuracy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~90-93%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94.33%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Why We Made These Choices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1D-CNN: </w:t>
      </w:r>
      <w:r>
        <w:rPr>
          <w:rFonts w:ascii="Arial" w:cs="Arial" w:eastAsia="Arial" w:hAnsi="Arial"/>
          <w:sz w:val="22"/>
          <w:szCs w:val="22"/>
        </w:rPr>
        <w:t xml:space="preserve">Natural architecture for 1D gene expression sequences; captures local gene co-expression patterns; parameter-efficient on 20K-feature inputs; validated by Mostavi et al. as superior to traditional ML.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Squeeze-Excitation blocks: </w:t>
      </w:r>
      <w:r>
        <w:rPr>
          <w:rFonts w:ascii="Arial" w:cs="Arial" w:eastAsia="Arial" w:hAnsi="Arial"/>
          <w:sz w:val="22"/>
          <w:szCs w:val="22"/>
        </w:rPr>
        <w:t xml:space="preserve">Channel-wise attention adds biological interpretability (model learns which genes matter) with minimal parameter overhead.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5-model ensemble: </w:t>
      </w:r>
      <w:r>
        <w:rPr>
          <w:rFonts w:ascii="Arial" w:cs="Arial" w:eastAsia="Arial" w:hAnsi="Arial"/>
          <w:sz w:val="22"/>
          <w:szCs w:val="22"/>
        </w:rPr>
        <w:t xml:space="preserve">Reduces prediction variance; each seed finds different model solutions; averaging cancels out individual errors.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MixUp: </w:t>
      </w:r>
      <w:r>
        <w:rPr>
          <w:rFonts w:ascii="Arial" w:cs="Arial" w:eastAsia="Arial" w:hAnsi="Arial"/>
          <w:sz w:val="22"/>
          <w:szCs w:val="22"/>
        </w:rPr>
        <w:t xml:space="preserve">Creates interpolated training samples; prevents overfitting; improves calibration via soft labels.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SMOTE: </w:t>
      </w:r>
      <w:r>
        <w:rPr>
          <w:rFonts w:ascii="Arial" w:cs="Arial" w:eastAsia="Arial" w:hAnsi="Arial"/>
          <w:sz w:val="22"/>
          <w:szCs w:val="22"/>
        </w:rPr>
        <w:t xml:space="preserve">Addresses severe class imbalance (some cancers have &lt;80 samples vs. &gt;1000 for BRCA) without simple oversampling.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TTA: </w:t>
      </w:r>
      <w:r>
        <w:rPr>
          <w:rFonts w:ascii="Arial" w:cs="Arial" w:eastAsia="Arial" w:hAnsi="Arial"/>
          <w:sz w:val="22"/>
          <w:szCs w:val="22"/>
        </w:rPr>
        <w:t xml:space="preserve">Makes 10 stochastic predictions per sample; more stable probability estimates; especially helps uncertain boundary cases.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READ/COAD merge: </w:t>
      </w:r>
      <w:r>
        <w:rPr>
          <w:rFonts w:ascii="Arial" w:cs="Arial" w:eastAsia="Arial" w:hAnsi="Arial"/>
          <w:sz w:val="22"/>
          <w:szCs w:val="22"/>
        </w:rPr>
        <w:t xml:space="preserve">Biologically principled — these cancers are transcriptomically identical per 2018 TCGA analysis; directly fixes the worst-performing class from prior work.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Temperature scaling: </w:t>
      </w:r>
      <w:r>
        <w:rPr>
          <w:rFonts w:ascii="Arial" w:cs="Arial" w:eastAsia="Arial" w:hAnsi="Arial"/>
          <w:sz w:val="22"/>
          <w:szCs w:val="22"/>
        </w:rPr>
        <w:t xml:space="preserve">Ensures confidence scores are meaningful; a 90% prediction should mean 90% empirical accuracy — important for clinical trust.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 (adrenocortical carcinoma) F1 = 0.5455 — too few samples; SMOTE alone cannot compensate.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omics only — only gene expression is used; adding DNA methylation or mutations could help histologically similar cancers.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TCGA-only training — generalization to external cohorts with different sequencing protocols is unvalidated.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Gradient-based attribution is a simple interpretability method — more robust methods (Integrated Gradients, SHAP) would give more reliable biomarker rankings.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One-Paragraph Summary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/>
            </w:r>
          </w:p>
          <w:p>
            <w:pPr>
              <w:spacing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built an ensemble of five 1D-CNNs with Squeeze-Excitation attention blocks to classify 32 cancer types from TCGA gene expression data. A biologically motivated merge of READ and COAD into a single colorectal class eliminated the most problematic confusion pair in prior work. Five-model ensemble training with MixUp, SMOTE, TTA, and temperature calibration produced a final accuracy of 94.33%, Macro F1 of 0.9250, and Mean ROC-AUC of 0.9957 — outperforming Mostavi et al.'s single-model CNN baseline. Seven cancer types were classified perfectly. Gradient-based gene importance analysis recovered known clinical biomarkers, validating that the model learned biologically meaningful patterns.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TCGA Pan-Cancer Classification —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2026-04-25T01:39:49.817Z</dcterms:created>
  <dcterms:modified xsi:type="dcterms:W3CDTF">2026-04-25T01:39:49.817Z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