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A0E68" w14:textId="77777777" w:rsidR="007E6830" w:rsidRDefault="006F3573">
      <w:pPr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sz w:val="32"/>
        </w:rPr>
        <w:br w:type="page"/>
      </w: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2</w:t>
      </w:r>
    </w:p>
    <w:p w14:paraId="710C5FC0" w14:textId="77777777" w:rsidR="00F94913" w:rsidRPr="00F94913" w:rsidRDefault="00F94913" w:rsidP="00F94913">
      <w:pPr>
        <w:pStyle w:val="1"/>
      </w:pPr>
    </w:p>
    <w:p w14:paraId="672003C2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年青岛市数字赋能高质量发展职工创新大赛</w:t>
      </w:r>
    </w:p>
    <w:p w14:paraId="2FA0DDAB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参赛项目报告</w:t>
      </w:r>
    </w:p>
    <w:p w14:paraId="3ABB1B17" w14:textId="77777777" w:rsidR="007E6830" w:rsidRPr="00F94913" w:rsidRDefault="007E6830">
      <w:pPr>
        <w:pStyle w:val="a3"/>
      </w:pPr>
    </w:p>
    <w:p w14:paraId="4DCF19A7" w14:textId="77777777" w:rsidR="007E6830" w:rsidRPr="00F94913" w:rsidRDefault="007E6830">
      <w:pPr>
        <w:pStyle w:val="a7"/>
        <w:ind w:left="5250"/>
        <w:rPr>
          <w:rFonts w:ascii="Times New Roman" w:hAnsi="Times New Roman" w:cs="Times New Roman"/>
        </w:rPr>
      </w:pPr>
    </w:p>
    <w:p w14:paraId="6F3E4C48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方正小标宋简体" w:cs="Times New Roman"/>
          <w:snapToGrid w:val="0"/>
          <w:color w:val="000000"/>
          <w:kern w:val="0"/>
          <w:sz w:val="44"/>
          <w:szCs w:val="44"/>
        </w:rPr>
      </w:pPr>
      <w:r>
        <w:rPr>
          <w:rFont w:ascii="Times New Roman" w:hAnsi="Times New Roman" w:eastAsia="方正小标宋简体" w:cs="Times New Roman"/>
          <w:sz w:val="44"/>
          <w:szCs w:val="44"/>
        </w:rPr>
        <w:t xml:space="preserve">智护随行·患者离院全程数智随访与用药安全守护系统</w:t>
      </w:r>
    </w:p>
    <w:p w14:paraId="0E5BFDDB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楷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楷体" w:cs="Times New Roman"/>
          <w:sz w:val="24"/>
          <w:szCs w:val="24"/>
        </w:rPr>
        <w:t xml:space="preserve">青岛市第三人民医院  智护随行项目组</w:t>
      </w:r>
    </w:p>
    <w:p w14:paraId="4E1F7C47" w14:textId="77777777" w:rsidR="007E6830" w:rsidRPr="00F94913" w:rsidRDefault="007E6830">
      <w:pPr>
        <w:snapToGrid w:val="0"/>
        <w:spacing w:line="600" w:lineRule="exact"/>
        <w:ind w:firstLineChars="200" w:firstLine="480"/>
        <w:rPr>
          <w:rFonts w:ascii="Times New Roman" w:eastAsia="方正黑体_GBK" w:hAnsi="Times New Roman" w:cs="Times New Roman"/>
          <w:snapToGrid w:val="0"/>
          <w:color w:val="000000"/>
          <w:kern w:val="0"/>
          <w:sz w:val="24"/>
        </w:rPr>
      </w:pPr>
    </w:p>
    <w:p w14:paraId="0F29C138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一、项目组概况</w:t>
      </w:r>
    </w:p>
    <w:p w14:paraId="5377B4B0" w14:textId="77777777" w:rsidR="007E6830" w:rsidRPr="00F94913" w:rsidRDefault="006F3573">
      <w:pPr>
        <w:snapToGrid w:val="0"/>
        <w:rPr>
          <w:rFonts w:ascii="Times New Roman" w:hAnsi="Times New Roman" w:cs="Times New Roman"/>
          <w:snapToGrid w:val="0"/>
          <w:color w:val="000000"/>
          <w:kern w:val="0"/>
          <w:szCs w:val="21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Cs w:val="21"/>
        </w:rPr>
        <w:t xml:space="preserve">    </w:t>
      </w:r>
    </w:p>
    <w:p w14:paraId="111EDC7E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971"/>
        <w:gridCol w:w="715"/>
        <w:gridCol w:w="715"/>
        <w:gridCol w:w="1144"/>
        <w:gridCol w:w="2144"/>
        <w:gridCol w:w="1324"/>
        <w:gridCol w:w="1089"/>
      </w:tblGrid>
      <w:tr w:rsidR="007E6830" w:rsidRPr="00F94913" w14:paraId="0ED5169E" w14:textId="77777777">
        <w:trPr>
          <w:trHeight w:val="366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F3230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团队名称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812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成立日期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185E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发布人</w:t>
            </w:r>
          </w:p>
        </w:tc>
      </w:tr>
      <w:tr w:rsidR="007E6830" w:rsidRPr="00F94913" w14:paraId="09FEE4B1" w14:textId="77777777">
        <w:trPr>
          <w:trHeight w:val="305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FA24E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智护随行患者离院数智随访与用药安全守护系统项目组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CC939" w14:textId="77777777" w:rsidR="007E6830" w:rsidRPr="00F94913" w:rsidRDefault="006F3573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2026年8月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D2D82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</w:tr>
      <w:tr w:rsidR="007E6830" w:rsidRPr="00F94913" w14:paraId="40FDF7B0" w14:textId="77777777">
        <w:trPr>
          <w:cantSplit/>
          <w:trHeight w:val="41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E4F7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3F0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姓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26240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5048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0490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文化</w:t>
            </w:r>
          </w:p>
          <w:p w14:paraId="67C0DAE4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程度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EF6AB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职务及职称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F56CF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小组</w:t>
            </w:r>
          </w:p>
          <w:p w14:paraId="69480C4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EFB4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组内</w:t>
            </w:r>
          </w:p>
          <w:p w14:paraId="2ED75BC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分工</w:t>
            </w:r>
          </w:p>
        </w:tc>
      </w:tr>
      <w:tr w:rsidR="007E6830" w:rsidRPr="00F94913" w14:paraId="6F6B1C54" w14:textId="77777777">
        <w:trPr>
          <w:cantSplit/>
          <w:trHeight w:val="542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11A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项目第一完成人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050A0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F240F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4CC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C543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本科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E06A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DD0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2B3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总体设计与全栈开发</w:t>
            </w:r>
          </w:p>
        </w:tc>
      </w:tr>
      <w:tr w:rsidR="007E6830" w:rsidRPr="00F94913" w14:paraId="7A8E9824" w14:textId="77777777">
        <w:trPr>
          <w:cantSplit/>
          <w:trHeight w:val="454"/>
          <w:jc w:val="center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AC73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</w:t>
            </w:r>
          </w:p>
          <w:p w14:paraId="6C47C71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成员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531A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3AC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370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ABF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2B07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0A6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BB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96441ED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160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F68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A4A4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D8CF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937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352E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D16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580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2DA6350C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8238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A5D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B35B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718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C5E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CA0E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3FE0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3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6B19AFA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E68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47F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CA3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3B9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AED4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F60E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F9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FB0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343CAD1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C43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12B3C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7437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5428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04D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AD4A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5A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FA7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3940ADE7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76FC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FA9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2A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B371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23EE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CB25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6EA3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DA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28ED034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B78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26546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5A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589F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2DB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3607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C2D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77F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F727AE8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DFF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4782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317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5E6C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1A1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18DB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FE14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753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</w:tbl>
    <w:p w14:paraId="484BF683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p w14:paraId="18E1805C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二、选题理由</w:t>
      </w:r>
    </w:p>
    <w:p w14:paraId="26D62345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一：患者离院"失管"是医院与患者共同痛点。出院后护士随访覆盖率不足25%、老年患者看不懂出院小结、漏服错服与早期不良反应被硬扛，直接推高30天非计划再入院率与医保扣罚，医院迫切需要合规、低成本、可规模化的离院智能随访工具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二：数据合规与算力成本曾是最大障碍，现已具备破解条件。端侧隐私脱敏网关可在数据出院前剥离身份标识，让医院在不购置昂贵GPU集群的前提下合规使用公网顶级大模型，多智能体与语音技术也已成熟，使"低成本智能随访"成为可能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理由三：个人具备完成条件。第一完成人兼具医疗信息化经验与多智能体、隐私脱敏、全栈开发能力，熟悉随访临床流程与合规要求；系统原型已由本人自主研发完成，具备院内试点基础。</w:t>
      </w:r>
    </w:p>
    <w:p w14:paraId="32D8F87F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三、现状调查与分析</w:t>
      </w:r>
    </w:p>
    <w:p w14:paraId="357FBA21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1.随访工作现状：病区护士日常护理任务饱和，单人每月需拨打数百个回访电话、耗时超过30小时，且常被当作骚扰电话拒接，随访覆盖率不足25%、沟通流于形式，异常患者难以及时发现。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患者端现状：出院小结充斥拉丁名缩写与专业术语，老年患者及家属看不懂、记不住，多药联用漏服错服频发；居家出现牙龈出血、黑便、轻度憋气等早期症状往往选择硬扛，发展为急性危象或心衰加重才被动急诊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3.管理与政策现状：随访覆盖率、30天非计划再入院率是三级公立医院绩效考核（国考）与DRG/DIP结算的重要指标，术后并发症再入院会造成医保结余亏损，医院有强烈动力加强院外管理。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技术现状调查：私有化大模型方案需GPU集群、三年TCO约百万元，中小医院难承受；直接用公网大模型又违反医疗数据出院规定。调研确认，"端侧脱敏网关+公网零留存大模型+医护闭环"是兼顾合规、效果与成本的可行路径。</w:t>
      </w:r>
    </w:p>
    <w:p w14:paraId="67DC0C7D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2FCDE325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四、项目原理</w:t>
      </w:r>
    </w:p>
    <w:p w14:paraId="5E57707B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总体架构：系统采用"云—边—端"三层松耦合架构，贯彻"数据不出院、模型用公网、决策归医护"。患者通过电话语音外呼、微信公众号、小程序触达；院内安全边界内集成HIS/EMR数据并部署医护监护工作台；端侧脱敏网关居中；云端为零数据留存的大模型多智能体推理集群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端侧隐私脱敏网关（核心）：由正则/字典嗅探器识别身份证、手机号、住院号、床位号等18项PII，并对医学专词作边界保护避免误切；密码学伪匿名化替换为[PATIENT_01]等令牌，生成会话级内存映射表、阅后即焚；云端返回后原子逆向回填，医护所见为完整真实信息，云端全程处于脱敏黑盒；另设极端红线本地熔断（0.05秒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多智能体协同：出院通俗化转译智能体把带药医嘱降维解读、按早中晚睡前重组为彩虹四色用药时刻表并提炼红线危象清单；拟人化随访智能体以资深护师语态进行多轮共情随访、动态追问症状；临床逻辑核验智能体按红黄绿三级矩阵研判——红色危象毫秒告警并触发医生外呼与急诊绿道，黄色纳入2小时复核与患教，绿色自动归档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闭环数据通路：随访对话经脱敏送云端理解，返回结构化槽位（服药依从性、捕获症状、体征数值）与风险等级；工作台一键查看对话轨迹与研判依据、一键外呼、归档处置，形成"随访—研判—预警—处置"闭环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功能模块：临床监护预警大屏（随访覆盖率、危象拦截数、依从性、再入院预测与待办队列）、多智能体随访演练舱（双屏透视脱敏报文与槽位提取）、出院通俗化转译工作台、端侧合规网关沙盒（现场压测脱敏效果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6.技术栈：React+Node/Express前端原型、Google Gemini等OpenAI兼容大模型接口（可替换为国产模型）、本地脱敏网关与规则引擎；部署复用院内现有PC或容器，硬件增量近零。</w:t>
      </w:r>
    </w:p>
    <w:p w14:paraId="1DC79C62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0BBCA13E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五、项目实施效果说明</w:t>
      </w:r>
    </w:p>
    <w:p w14:paraId="68A2A61A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kern w:val="0"/>
          <w:u w:val="single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原型已完整可演示：已完成可运行软件原型，含临床监护预警大屏、多智能体随访演练舱、出院通俗化转译工作台、端侧合规网关沙盒与答辩攻防台五大模块，内置心血管、外科、内分泌等专科典型病例，可现场模拟随访对话、脱敏透视与红黄绿预警闭环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2.合规能力可现场验证：脱敏沙盒支持任意输入敏感文本，毫秒级展示18项标识符掩码剥离与逆向回填，双屏透视公网实际接收的脱敏报文，直观证明"数据不出院、模型用公网"。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预期效益（基于2000张床位三甲医院测算，待试点实证）：随访覆盖率由约21.5%提升至89%以上，护士人均月随访耗时由34小时降至约4小时（节省约88%），重症药物反应早发现例数提升约4.4倍，30天非计划再入院率由7.8%降至约5.8%，单科室年挽回医保DRG倒扣约36万元；三年TCO由自建GPU方案约107万元降至不足1万元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4.安全闭环设计：红色危象本地0.05秒熔断并秒级联动医护、黄色复核、绿色归档，RAG限定带药范围、医护最终决断，兼顾智能与医疗安全。</w:t>
      </w:r>
    </w:p>
    <w:p w14:paraId="6BD2104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六、项目推广前景描述</w:t>
      </w:r>
    </w:p>
    <w:p w14:paraId="5697EEB7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b/>
          <w:bCs/>
          <w:sz w:val="21"/>
          <w:szCs w:val="21"/>
        </w:rPr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按"特定情况下局部推广、行业部分推广、行业全面推广"三个层次定位：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1.特定情况下局部推广（现阶段）：原型已完成，下一步在本院心血管内科（PCI术后双抗监护）试点部署，验证随访覆盖率、依从性与再入院指标改善，形成院内样板。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2.行业部分推广（1—2年）：拓展外科、内分泌等专科话术后，依托医联体与市卫健、工会渠道向青岛市属及省内二级以上医院推广，形成多科室、多家医院标杆案例并输出合规白皮书。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行业全面推广（3—5年）：产品化包装后面向全国5000余家二级以上医院及基层医疗机构推广，并向居家护理、互联网医疗、商保健康管理等场景延伸；其"端侧脱敏+多智能体+医护闭环"模式可迁移至慢性病管理、老年照护等院外健康服务领域。</w:t>
      </w:r>
    </w:p>
    <w:p w14:paraId="2B430757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七、创新点、效果归纳及专利申请或授权情况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（一）创新点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1.合规模式创新：端侧隐私脱敏网关+公网零数据留存，让医院在零GPU投入下合规使用顶级大模型，破解医疗数据"不能出院"与"用不起私有化"的双重困局。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2.多智能体协同创新：转译、共情随访、临床核验三个专用智能体分工协同，把出院小结转译为四色用药时刻表、把电话随访升级为动态追问的护师级对话、把风险研判固化为红黄绿矩阵。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3.安全防线创新：RAG限定带药边界、医护Human-in-the-Loop最终决断、极危关键词本地0.05秒硬熔断，三道防线确保AI不越权、不误诊、不担不当责任。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4.适老交互创新：电话外呼为主、无需App、方言识别、大字版彩虹用药时钟并抄送子女，构建医护—患者—家属三方守护同心圆。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5.成本模式创新：本地网关复用现有PC、年API成本仅数百元，三年TCO较自建GPU集群下降约99%，让中小医院也用得起医疗AI。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（二）效果归纳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1.根本解决问题：患者离院"随访覆盖率低、失管漏管"的问题——智能体并发随访把覆盖率由不足25%提升至89%以上，护士从重复外呼中解放。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2.基本解决问题：出院小结"看不懂、用药错漏"与早期不良反应"发现滞后"的问题——通俗转译与红黄绿实时研判把用药隐患截流在危象之前。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3.部分解决问题：再入院率下降、医保减损等临床与经济效益目前为模型测算值，尚需院内试点对照实证；方言识别、检验数据自动联动等能力将在试点中持续完善。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（三）专利申请或授权情况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项目核心技术全部由第一完成人自主研发，无外部单位权属争议；计划2026年内申请软件著作权《智护随行·患者离院全程数智随访与用药安全守护系统V1.0》，并就核心方法布局发明专利；暂无已授权专利。</w:t>
      </w:r>
    </w:p>
    <w:p w14:paraId="2C0869BB" w14:textId="77777777" w:rsidR="007E6830" w:rsidRPr="00F94913" w:rsidRDefault="007E6830">
      <w:pPr>
        <w:snapToGrid w:val="0"/>
        <w:spacing w:line="500" w:lineRule="exac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bookmarkEnd w:id="4"/>
    <w:p w14:paraId="4B32B22A" w14:textId="77777777" w:rsidR="007E6830" w:rsidRPr="00F94913" w:rsidRDefault="007E6830">
      <w:pPr>
        <w:spacing w:line="600" w:lineRule="exact"/>
        <w:jc w:val="left"/>
        <w:rPr>
          <w:rFonts w:ascii="Times New Roman" w:eastAsia="方正小标宋简体" w:hAnsi="Times New Roman" w:cs="Times New Roman"/>
          <w:color w:val="000000"/>
          <w:spacing w:val="-8"/>
          <w:sz w:val="32"/>
        </w:rPr>
      </w:pPr>
    </w:p>
    <w:sectPr w:rsidR="007E6830" w:rsidRPr="00F94913">
      <w:footerReference w:type="even" r:id="rId8"/>
      <w:footerReference w:type="default" r:id="rId9"/>
      <w:pgSz w:w="11906" w:h="16838"/>
      <w:pgMar w:top="2098" w:right="1474" w:bottom="1985" w:left="1588" w:header="1134" w:footer="1134" w:gutter="0"/>
      <w:pgNumType w:fmt="numberInDash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大赛2026_新项目填报/智护随行/附件2_参赛项目报告_智护随行离院随访用药安全系统.docx","ReservedCode1":"","ContentPropagator":"001191110102MACQD9K64028705","PropagateID":"789920739515066#1788999233092","ReservedCode2":""}</vt:lpwstr>
  </property>
</Properties>
</file>