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A0E68" w14:textId="77777777" w:rsidR="007E6830" w:rsidRDefault="006F3573">
      <w:pPr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sz w:val="32"/>
        </w:rPr>
        <w:br w:type="page"/>
      </w: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2</w:t>
      </w:r>
    </w:p>
    <w:p w14:paraId="710C5FC0" w14:textId="77777777" w:rsidR="00F94913" w:rsidRPr="00F94913" w:rsidRDefault="00F94913" w:rsidP="00F94913">
      <w:pPr>
        <w:pStyle w:val="1"/>
      </w:pPr>
    </w:p>
    <w:p w14:paraId="672003C2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年青岛市数字赋能高质量发展职工创新大赛</w:t>
      </w:r>
    </w:p>
    <w:p w14:paraId="2FA0DDAB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参赛项目报告</w:t>
      </w:r>
    </w:p>
    <w:p w14:paraId="3ABB1B17" w14:textId="77777777" w:rsidR="007E6830" w:rsidRPr="00F94913" w:rsidRDefault="007E6830">
      <w:pPr>
        <w:pStyle w:val="a3"/>
      </w:pPr>
    </w:p>
    <w:p w14:paraId="4DCF19A7" w14:textId="77777777" w:rsidR="007E6830" w:rsidRPr="00F94913" w:rsidRDefault="007E6830">
      <w:pPr>
        <w:pStyle w:val="a7"/>
        <w:ind w:left="5250"/>
        <w:rPr>
          <w:rFonts w:ascii="Times New Roman" w:hAnsi="Times New Roman" w:cs="Times New Roman"/>
        </w:rPr>
      </w:pPr>
    </w:p>
    <w:p w14:paraId="6F3E4C48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方正小标宋简体" w:cs="Times New Roman"/>
          <w:snapToGrid w:val="0"/>
          <w:color w:val="000000"/>
          <w:kern w:val="0"/>
          <w:sz w:val="44"/>
          <w:szCs w:val="44"/>
        </w:rPr>
      </w:pPr>
      <w:r>
        <w:rPr>
          <w:rFont w:ascii="Times New Roman" w:hAnsi="Times New Roman" w:eastAsia="方正小标宋简体" w:cs="Times New Roman"/>
          <w:sz w:val="44"/>
          <w:szCs w:val="44"/>
        </w:rPr>
        <w:t xml:space="preserve">HIOps医院智能信息运维平台</w:t>
      </w:r>
    </w:p>
    <w:p w14:paraId="0E5BFDDB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楷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楷体" w:cs="Times New Roman"/>
          <w:sz w:val="24"/>
          <w:szCs w:val="24"/>
        </w:rPr>
        <w:t xml:space="preserve">青岛市第三人民医院  HIOps平台项目组</w:t>
      </w:r>
    </w:p>
    <w:p w14:paraId="4E1F7C47" w14:textId="77777777" w:rsidR="007E6830" w:rsidRPr="00F94913" w:rsidRDefault="007E6830">
      <w:pPr>
        <w:snapToGrid w:val="0"/>
        <w:spacing w:line="600" w:lineRule="exact"/>
        <w:ind w:firstLineChars="200" w:firstLine="480"/>
        <w:rPr>
          <w:rFonts w:ascii="Times New Roman" w:eastAsia="方正黑体_GBK" w:hAnsi="Times New Roman" w:cs="Times New Roman"/>
          <w:snapToGrid w:val="0"/>
          <w:color w:val="000000"/>
          <w:kern w:val="0"/>
          <w:sz w:val="24"/>
        </w:rPr>
      </w:pPr>
    </w:p>
    <w:p w14:paraId="0F29C138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一、项目组概况</w:t>
      </w:r>
    </w:p>
    <w:p w14:paraId="5377B4B0" w14:textId="77777777" w:rsidR="007E6830" w:rsidRPr="00F94913" w:rsidRDefault="006F3573">
      <w:pPr>
        <w:snapToGrid w:val="0"/>
        <w:rPr>
          <w:rFonts w:ascii="Times New Roman" w:hAnsi="Times New Roman" w:cs="Times New Roman"/>
          <w:snapToGrid w:val="0"/>
          <w:color w:val="000000"/>
          <w:kern w:val="0"/>
          <w:szCs w:val="21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Cs w:val="21"/>
        </w:rPr>
        <w:t xml:space="preserve">    </w:t>
      </w:r>
    </w:p>
    <w:p w14:paraId="111EDC7E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971"/>
        <w:gridCol w:w="715"/>
        <w:gridCol w:w="715"/>
        <w:gridCol w:w="1144"/>
        <w:gridCol w:w="2144"/>
        <w:gridCol w:w="1324"/>
        <w:gridCol w:w="1089"/>
      </w:tblGrid>
      <w:tr w:rsidR="007E6830" w:rsidRPr="00F94913" w14:paraId="0ED5169E" w14:textId="77777777">
        <w:trPr>
          <w:trHeight w:val="366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F3230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团队名称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5812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成立日期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185E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发布人</w:t>
            </w:r>
          </w:p>
        </w:tc>
      </w:tr>
      <w:tr w:rsidR="007E6830" w:rsidRPr="00F94913" w14:paraId="09FEE4B1" w14:textId="77777777">
        <w:trPr>
          <w:trHeight w:val="305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FA24E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HIOps医院智能信息运维平台项目组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CC939" w14:textId="77777777" w:rsidR="007E6830" w:rsidRPr="00F94913" w:rsidRDefault="006F3573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2025年12月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D2D82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</w:tr>
      <w:tr w:rsidR="007E6830" w:rsidRPr="00F94913" w14:paraId="40FDF7B0" w14:textId="77777777">
        <w:trPr>
          <w:cantSplit/>
          <w:trHeight w:val="414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4E4F7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3F0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姓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名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26240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35048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0490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文化</w:t>
            </w:r>
          </w:p>
          <w:p w14:paraId="67C0DAE4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程度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EF6AB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职务及职称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F56CF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小组</w:t>
            </w:r>
          </w:p>
          <w:p w14:paraId="69480C4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EFB4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组内</w:t>
            </w:r>
          </w:p>
          <w:p w14:paraId="2ED75BC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分工</w:t>
            </w:r>
          </w:p>
        </w:tc>
      </w:tr>
      <w:tr w:rsidR="007E6830" w:rsidRPr="00F94913" w14:paraId="6F6B1C54" w14:textId="77777777">
        <w:trPr>
          <w:cantSplit/>
          <w:trHeight w:val="542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311A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项目第一完成人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050A0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F240F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4CC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C543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本科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FE06A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中级职称（副科级）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EDD0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第一完成人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EB2B3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总体设计与全栈开发</w:t>
            </w:r>
          </w:p>
        </w:tc>
      </w:tr>
      <w:tr w:rsidR="007E6830" w:rsidRPr="00F94913" w14:paraId="7A8E9824" w14:textId="77777777">
        <w:trPr>
          <w:cantSplit/>
          <w:trHeight w:val="454"/>
          <w:jc w:val="center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AC73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</w:t>
            </w:r>
          </w:p>
          <w:p w14:paraId="6C47C71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成员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531A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3AC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370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ABF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2B07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0A6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BB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96441ED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5160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F68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A4A4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D8CF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A937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352E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7D16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580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2DA6350C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8238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A5D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B35B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718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C5E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CA0E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3FE0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3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6B19AFA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AE68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C47F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CA34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3B9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AED4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F60E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DF9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0FB0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4343CAD1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FC43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12B3C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7437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5428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04D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AD4A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95A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FA7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3940ADE7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76FC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DFA9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2A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B371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23EE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CB25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6EA32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7DA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28ED034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B78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826546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05A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589F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2DB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3607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C2DA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477F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F727AE8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DFF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4782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317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5E6C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71A1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18DB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FE14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753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</w:tbl>
    <w:p w14:paraId="484BF683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p w14:paraId="18E1805C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二、选题理由</w:t>
      </w:r>
    </w:p>
    <w:p w14:paraId="26D62345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一：医院运维急需业务化、智能化工具。医院60余套业务系统、约250台服务器、约1000台终端持续运行，而运维人员有限；传统Zabbix监控只报设备现象、不报业务影响，资产靠人工台账、故障靠经验排查，迫切需要一套面向业务、自动纳管、智能分析的运维平台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理由二：技术条件成熟。Zabbix 7.4已在院内稳定运行、提供开放API，.NET 8、Vue 3、PostgreSQL等成熟技术栈与开源生态可支撑快速构建；本地确定性引擎配合大模型辅助分析，使"断网可运行、智能不越界"的运维平台成为可能。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三：个人具备完成条件。第一完成人长期负责医院信息化运维，既懂医院业务系统与网络环境，又具备全栈开发与批量部署能力；平台六阶段功能已由本人自主研发完成并通过真实链路验证，具备落地与推广基础。</w:t>
      </w:r>
    </w:p>
    <w:p w14:paraId="32D8F87F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三、现状调查与分析</w:t>
      </w:r>
    </w:p>
    <w:p w14:paraId="357FBA21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1.运维对象现状：本院运行HIS/EMR/LIS/PACS等60余个业务系统，服务器约250台、Windows终端约1000台（Win7 32位存量较大，并存Win10/Win11），另有网络与存储设备，IT资产规模大、运维保障要求高。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2.运维方式现状：原有Zabbix 7.4平台主要实现设备级指标监控与告警，存在三大痛点——告警只报现象不报根因、缺乏业务视角（领导关心HIS健康度而非某台主机）、终端与系统数量大而人员少，资产台账维护与故障排查高度依赖人工。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网络约束实测：经实测，终端网段（192.168.10/20/30.X）到服务器网段仅允许单向出站，服务器主动探测终端被隔离，据此确定"终端active主动上报、平台API周期拉取"的采集铁律；网络设备SNMP因入站受限需ACL放行或分段Proxy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4.行业现状：通用商业运维平台价格高、不懂医疗业务、难适配医院网段隔离与老终端环境；Zabbix原生缺业务视角与智能分析。建设一套医院场景化的业务智能运维平台，需求明确、空白明显。</w:t>
      </w:r>
    </w:p>
    <w:p w14:paraId="67DC0C7D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2FCDE325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四、项目原理</w:t>
      </w:r>
    </w:p>
    <w:p w14:paraId="5E57707B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总体架构：平台按"采集层—业务层—存储层—展示层"分层。采集层ZabbixProblemPuller（20秒）拉取告警、ZabbixMetricsBridge（60秒）同步主机与指标；业务层含资产CMDB、拓扑、业务健康、事件事故RCA、日志聚类、容量预测、生命周期；存储层PostgreSQL；展示层Vue 3驾驶舱。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2.资产自动治理：资产含IP/MAC/型号/厂商/状态与Source血缘，指纹归一化去重、软删除，Zabbix指标桥自动纳管真实资产（ZABBIX-SYNC），待确认资产走审批，拓扑支持多源幂等构建。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3.业务健康度模型：资产分=最新观测健康分−在途告警数×10（无观测取中性85），分档≥95绿/80-94橙/&lt;80红；系统分按绑定资产与子树自底向上递归聚合，驱动首页驾驶舱。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事件—事故—根因链路：Zabbix告警归一化为事件（EventId去重）→自动聚类→生成P1-P4事故单→根因分析；恢复采用差分法（库中PROBLEM减去Zabbix在途）自动RESOLVED并关单；事件自动关联资产与业务系统，业务健康实时扣分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轻量智能分析：日志经模板归一化（数字/UUID/IP/引号）后同源同指纹聚簇并映射建议词；容量预测基于近30天心跳小时聚合、最小二乘外推90天（CPU≥80%/内存≥85%报CRITICAL）；服务器五档生命周期与年度更新建议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6.双Agent采集：终端同时部署Zabbix Agent（active，10051自动注册）与自研HIOps Endpoint Sensor（.NET Framework 4.8，HTTP纯出站，零依赖P/Invoke），前者采系统指标、后者补采HIS/EMR业务进程与卡死/版本；配套install.bat（自动UAC提权、架构检测、msiexec等待、服务轮询回执）与linux_install.sh一键分发。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7.设计哲学：本地确定性引擎（状态机/评分/聚类）为唯一数值权威，大模型仅辅助生成处置建议、不做数值决策；真实/演示数据隔离开关一键切换，断网可降级运行。</w:t>
      </w:r>
    </w:p>
    <w:p w14:paraId="1DC79C62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0BBCA13E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五、项目实施效果说明</w:t>
      </w:r>
    </w:p>
    <w:p w14:paraId="68A2A61A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kern w:val="0"/>
          <w:u w:val="single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平台六阶段全部建成：资产中心、自动发现审批、拓扑、观测中心、事件事故RCA、生命周期与容量预测、日志聚类、业务健康驾驶舱均已开发完成，111项自动化测试保持绿基线（身份21/发现25/关系3/Agent10/事故10/RCA3/生命周期10/事件16/业务6/日志7）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2.真实链路打通：Zabbix 7.4对接验证通过——真实告警20秒内入库聚类成单、差分恢复自动关单、指标60秒桥接并回写健康分；当前已有4台真实资产（终端与Zabbix服务器）在线纳管。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3.批量分发可复制：终端双Agent打包方案（i386/amd64双架构MSI+Sensor net48）在真实环境验证通过，install.bat一键完成提权、安装、服务确认与自启，具备全院铺开条件。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4.应用价值：管理者可在驾驶舱直接查看HIS/EMR等业务系统健康度，运维人员从"盯设备告警"转为"处置业务事故"，故障定位与资产盘点效率显著提升，为后续全院上线奠定基础。</w:t>
      </w:r>
    </w:p>
    <w:p w14:paraId="6BD21043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六、项目推广前景描述</w:t>
      </w:r>
    </w:p>
    <w:p w14:paraId="5697EEB7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b/>
          <w:bCs/>
          <w:sz w:val="21"/>
          <w:szCs w:val="21"/>
        </w:rPr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按"特定情况下局部推广、行业部分推广、行业全面推广"三个层次定位：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1.特定情况下局部推广（现阶段）：平台已在青岛市第三人民医院完成六阶段开发与真实链路验证，下一步在本院正式部署并以一个科室为试点全院铺开Sensor，服务本院运维。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2.行业部分推广（1—2年）：依托医联体与市卫健、工会渠道，向青岛市属及省内二级以上医院推广，输出标准化Zabbix对接、终端分发与部署手册，形成多家标杆；区县基层医疗机构可采用轻量化版本。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行业全面推广（3—5年）：产品化包装后面向全国5000余家二级以上医院及大型基层机构推广；其"设备监控→业务健康→智能闭环"方法论亦可迁移至学校、政务、企业等拥有大规模IT资产的组织，具备跨行业推广潜力。</w:t>
      </w:r>
    </w:p>
    <w:p w14:paraId="2B430757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七、创新点、效果归纳及专利申请或授权情况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（一）创新点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1.业务健康度评价创新：把设备指标自底向上递归聚合为HIS/EMR等业务系统健康分，实现从"看设备"到"看业务"的运维视角转变。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2.事故自动闭环创新：告警归一化、聚类成单、根因分析与差分法自动恢复关单全链路自动化，故障处置全程留痕。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3.采集方案创新：针对医院网段单向隔离，确立"active主动出站+API周期拉取"铁律；双Agent分工（官方Agent采系统指标、自研Sensor采业务进程）。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4.终端全兼容创新：自研Sensor基于.NET Framework 4.8、零依赖P/Invoke，实现Win7(32位)~Win11全覆盖，配套一键分发回执脚本，解决医院老终端存量难题。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5.智能边界创新：本地确定性引擎掌握数值权威，大模型仅辅助分析不越界，断网可降级，兼顾智能与可靠。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6.数据隔离创新：真实/演示数据隔离开关一键切换，既保演示效果又保上线后只呈现真实纳管资产。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（二）效果归纳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1.根本解决问题：医院运维"只见设备、不见业务"的问题——业务健康度体系让管理者直接掌握核心业务系统运行状态。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2.基本解决问题：资产人工台账、故障人工排查效率低的问题——自动纳管、指纹去重、事件聚类与根因分析大幅降低人工工作量。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3.部分解决问题：网络设备SNMP纳管与终端HIS业务深度感知（卡死/版本/软件资产）目前已规划路线与Sensor v0.3方案，将在全院部署阶段完善。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（三）专利申请或授权情况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项目核心技术全部由第一完成人自主研发，无外部单位权属争议；计划2026年内申请软件著作权《HIOps医院智能信息运维平台V1.0》，并就核心方法布局发明专利；暂无已授权专利。</w:t>
      </w:r>
    </w:p>
    <w:p w14:paraId="2C0869BB" w14:textId="77777777" w:rsidR="007E6830" w:rsidRPr="00F94913" w:rsidRDefault="007E6830">
      <w:pPr>
        <w:snapToGrid w:val="0"/>
        <w:spacing w:line="500" w:lineRule="exac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bookmarkEnd w:id="4"/>
    <w:p w14:paraId="4B32B22A" w14:textId="77777777" w:rsidR="007E6830" w:rsidRPr="00F94913" w:rsidRDefault="007E6830">
      <w:pPr>
        <w:spacing w:line="600" w:lineRule="exact"/>
        <w:jc w:val="left"/>
        <w:rPr>
          <w:rFonts w:ascii="Times New Roman" w:eastAsia="方正小标宋简体" w:hAnsi="Times New Roman" w:cs="Times New Roman"/>
          <w:color w:val="000000"/>
          <w:spacing w:val="-8"/>
          <w:sz w:val="32"/>
        </w:rPr>
      </w:pPr>
    </w:p>
    <w:sectPr w:rsidR="007E6830" w:rsidRPr="00F94913">
      <w:footerReference w:type="even" r:id="rId8"/>
      <w:footerReference w:type="default" r:id="rId9"/>
      <w:pgSz w:w="11906" w:h="16838"/>
      <w:pgMar w:top="2098" w:right="1474" w:bottom="1985" w:left="1588" w:header="1134" w:footer="1134" w:gutter="0"/>
      <w:pgNumType w:fmt="numberInDash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  <property fmtid="{D5CDD505-2E9C-101B-9397-08002B2CF9AE}" pid="5" name="AIGC">
    <vt:lpwstr>{"Label":"1","ContentProducer":"001191110102MACQD9K64018705","ProduceID":"7626363973637800227-data_volume/files/所有对话/主对话/青岛大赛2026_新项目填报/HIOps/附件2_参赛项目报告_HIOps医院智能信息运维平台.docx","ReservedCode1":"","ContentPropagator":"001191110102MACQD9K64028705","PropagateID":"789920739515066#1788999164017","ReservedCode2":""}</vt:lpwstr>
  </property>
</Properties>
</file>