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A0E68" w14:textId="77777777" w:rsidR="007E6830" w:rsidRDefault="006F3573">
      <w:pPr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sz w:val="32"/>
        </w:rPr>
        <w:br w:type="page"/>
      </w: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2</w:t>
      </w:r>
    </w:p>
    <w:p w14:paraId="710C5FC0" w14:textId="77777777" w:rsidR="00F94913" w:rsidRPr="00F94913" w:rsidRDefault="00F94913" w:rsidP="00F94913">
      <w:pPr>
        <w:pStyle w:val="1"/>
      </w:pPr>
    </w:p>
    <w:p w14:paraId="672003C2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年青岛市数字赋能高质量发展职工创新大赛</w:t>
      </w:r>
    </w:p>
    <w:p w14:paraId="2FA0DDAB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参赛项目报告</w:t>
      </w:r>
    </w:p>
    <w:p w14:paraId="3ABB1B17" w14:textId="77777777" w:rsidR="007E6830" w:rsidRPr="00F94913" w:rsidRDefault="007E6830">
      <w:pPr>
        <w:pStyle w:val="a3"/>
      </w:pPr>
    </w:p>
    <w:p w14:paraId="4DCF19A7" w14:textId="77777777" w:rsidR="007E6830" w:rsidRPr="00F94913" w:rsidRDefault="007E6830">
      <w:pPr>
        <w:pStyle w:val="a7"/>
        <w:ind w:left="5250"/>
        <w:rPr>
          <w:rFonts w:ascii="Times New Roman" w:hAnsi="Times New Roman" w:cs="Times New Roman"/>
        </w:rPr>
      </w:pPr>
    </w:p>
    <w:p w14:paraId="6F3E4C48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方正小标宋简体" w:cs="Times New Roman"/>
          <w:snapToGrid w:val="0"/>
          <w:color w:val="000000"/>
          <w:kern w:val="0"/>
          <w:sz w:val="44"/>
          <w:szCs w:val="44"/>
        </w:rPr>
      </w:pPr>
      <w:r>
        <w:rPr>
          <w:rFont w:ascii="Times New Roman" w:hAnsi="Times New Roman" w:eastAsia="方正小标宋简体" w:cs="Times New Roman"/>
          <w:sz w:val="44"/>
          <w:szCs w:val="44"/>
        </w:rPr>
        <w:t xml:space="preserve">医院医疗服务战略数字孪生与AI推演平台</w:t>
      </w:r>
    </w:p>
    <w:p w14:paraId="0E5BFDDB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楷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楷体" w:cs="Times New Roman"/>
          <w:sz w:val="24"/>
          <w:szCs w:val="24"/>
        </w:rPr>
        <w:t xml:space="preserve">青岛市第三人民医院  数字孪生平台项目组</w:t>
      </w:r>
    </w:p>
    <w:p w14:paraId="4E1F7C47" w14:textId="77777777" w:rsidR="007E6830" w:rsidRPr="00F94913" w:rsidRDefault="007E6830">
      <w:pPr>
        <w:snapToGrid w:val="0"/>
        <w:spacing w:line="600" w:lineRule="exact"/>
        <w:ind w:firstLineChars="200" w:firstLine="480"/>
        <w:rPr>
          <w:rFonts w:ascii="Times New Roman" w:eastAsia="方正黑体_GBK" w:hAnsi="Times New Roman" w:cs="Times New Roman"/>
          <w:snapToGrid w:val="0"/>
          <w:color w:val="000000"/>
          <w:kern w:val="0"/>
          <w:sz w:val="24"/>
        </w:rPr>
      </w:pPr>
    </w:p>
    <w:p w14:paraId="0F29C138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一、项目组概况</w:t>
      </w:r>
    </w:p>
    <w:p w14:paraId="5377B4B0" w14:textId="77777777" w:rsidR="007E6830" w:rsidRPr="00F94913" w:rsidRDefault="006F3573">
      <w:pPr>
        <w:snapToGrid w:val="0"/>
        <w:rPr>
          <w:rFonts w:ascii="Times New Roman" w:hAnsi="Times New Roman" w:cs="Times New Roman"/>
          <w:snapToGrid w:val="0"/>
          <w:color w:val="000000"/>
          <w:kern w:val="0"/>
          <w:szCs w:val="21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Cs w:val="21"/>
        </w:rPr>
        <w:t xml:space="preserve">    </w:t>
      </w:r>
    </w:p>
    <w:p w14:paraId="111EDC7E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971"/>
        <w:gridCol w:w="715"/>
        <w:gridCol w:w="715"/>
        <w:gridCol w:w="1144"/>
        <w:gridCol w:w="2144"/>
        <w:gridCol w:w="1324"/>
        <w:gridCol w:w="1089"/>
      </w:tblGrid>
      <w:tr w:rsidR="007E6830" w:rsidRPr="00F94913" w14:paraId="0ED5169E" w14:textId="77777777">
        <w:trPr>
          <w:trHeight w:val="366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F3230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团队名称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812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成立日期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185E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发布人</w:t>
            </w:r>
          </w:p>
        </w:tc>
      </w:tr>
      <w:tr w:rsidR="007E6830" w:rsidRPr="00F94913" w14:paraId="09FEE4B1" w14:textId="77777777">
        <w:trPr>
          <w:trHeight w:val="305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FA24E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医院医疗服务战略数字孪生与AI推演平台项目组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CC939" w14:textId="77777777" w:rsidR="007E6830" w:rsidRPr="00F94913" w:rsidRDefault="006F3573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2026年3月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D2D82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</w:tr>
      <w:tr w:rsidR="007E6830" w:rsidRPr="00F94913" w14:paraId="40FDF7B0" w14:textId="77777777">
        <w:trPr>
          <w:cantSplit/>
          <w:trHeight w:val="41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E4F7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3F0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姓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26240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5048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0490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文化</w:t>
            </w:r>
          </w:p>
          <w:p w14:paraId="67C0DAE4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程度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EF6AB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职务及职称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F56CF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小组</w:t>
            </w:r>
          </w:p>
          <w:p w14:paraId="69480C4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EFB4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组内</w:t>
            </w:r>
          </w:p>
          <w:p w14:paraId="2ED75BC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分工</w:t>
            </w:r>
          </w:p>
        </w:tc>
      </w:tr>
      <w:tr w:rsidR="007E6830" w:rsidRPr="00F94913" w14:paraId="6F6B1C54" w14:textId="77777777">
        <w:trPr>
          <w:cantSplit/>
          <w:trHeight w:val="542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11A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项目第一完成人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050A0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F240F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4CC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C543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本科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E06A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DD0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2B3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总体设计与全栈开发</w:t>
            </w:r>
          </w:p>
        </w:tc>
      </w:tr>
      <w:tr w:rsidR="007E6830" w:rsidRPr="00F94913" w14:paraId="7A8E9824" w14:textId="77777777">
        <w:trPr>
          <w:cantSplit/>
          <w:trHeight w:val="454"/>
          <w:jc w:val="center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AC73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</w:t>
            </w:r>
          </w:p>
          <w:p w14:paraId="6C47C71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成员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531A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3AC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370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ABF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2B07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0A6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BB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96441ED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160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F68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A4A4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D8CF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937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352E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D16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580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2DA6350C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8238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A5D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B35B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718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C5E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CA0E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3FE0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3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6B19AFA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E68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47F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CA3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3B9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AED4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F60E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F9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FB0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343CAD1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C43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12B3C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7437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5428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04D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AD4A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5A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FA7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3940ADE7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76FC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FA9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2A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B371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23EE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CB25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6EA3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DA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28ED034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B78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26546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5A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589F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2DB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3607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C2D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77F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F727AE8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DFF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4782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317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5E6C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1A1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18DB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FE14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753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</w:tbl>
    <w:p w14:paraId="484BF683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p w14:paraId="18E1805C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二、选题理由</w:t>
      </w:r>
    </w:p>
    <w:p w14:paraId="26D62345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一：医院战略决策急需量化工具。公立医院高质量发展背景下，医院管理从"规模扩张"转向"精细化运营"，专科建设、医联体布局、床位号源扩容等重大决策涉及大量资源投入，但传统HIS/EMR只能回答"院内发生了什么"，无法回答"医院服务了谁、覆盖了哪里、未来布局效果如何"，决策主要依赖经验，缺乏可量化、可推演、可复盘的实验工具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二：数据与AI条件已经成熟。第七次全国人口普查街道级人口、WorldPop逐年人口栅格、区市统计公报与本院多年就诊数据，共同构成"人口×患者"同一空间体系的数据底座；国产大模型（DeepSeek）可私有化部署，空间可视化与仿真技术成熟，使"管理动作先在数字孪生沙盘中推演、再落地实施"成为可能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三：个人具备完成条件。第一完成人为计算机专业背景、医院信息化一线骨干，既懂医院业务与数据治理，又具备全栈开发与AI平台搭建能力；项目一期五层闭环已由本人自主研发完成并在院内实测验证，具备持续迭代和落地推广的现实基础。</w:t>
      </w:r>
    </w:p>
    <w:p w14:paraId="32D8F87F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三、现状调查与分析</w:t>
      </w:r>
    </w:p>
    <w:p w14:paraId="357FBA21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医院管理现状：本院为三级乙等医院，开放床位800张，年门诊约55万人次、住院约2.6万人次，每月产生大量运营报表。但报表以院内总量统计为主（门诊量、住院量、收入同比），管理者无法直观看到患者从哪些街道来、辐射能力随人口分布是强是弱、哪些区域被竞争医院截流、未来三年专科布局应向哪里倾斜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2.数据现状调查：院内可获取脱敏人事表（323名医生、111名高级职称、106个科室号源数据）、号源与床位运行数据；公开数据方面，七普街道人口、WorldPop 100m逐年栅格、区市统计公报、全市25家二级以上医院官网信息均可获取并已逐一核实建库，街道边界GeoJSON齐备，数据条件满足街道级建模要求。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行业现状分析：调研发现，当前医疗信息化产品集中于诊疗辅助（CDSS）与院内BI报表，面向"医院医疗服务空间战略"的数字孪生与推演产品在国内基本空白；商业BI工具不理解医疗业务、不提供推演仿真，咨询公司报告周期长、不可交互、无法持续复用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4.需求结论：医院管理者真正需要的是一套"可对话、可推演、可出报告"的决策实验系统——让每一次就诊都成为医院医疗服务版图上的决策信号。这正是本项目的定位。</w:t>
      </w:r>
    </w:p>
    <w:p w14:paraId="67DC0C7D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2FCDE325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四、项目原理</w:t>
      </w:r>
    </w:p>
    <w:p w14:paraId="5E57707B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1.总体架构：平台采用"医疗服务感知—AI智能洞察—战略推演—方案比较—智能决策输出"五层闭环架构，全部功能围绕同一数据流贯通。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数据建模：以2020年七普街道人口为真值锚点、WorldPop逐年栅格刻画空间分布、区级官方年度人口为总量约束，构建2020—2026街道级人口模型（全区合计严格等于官方人口，方法透明可解释）；院内脱敏数据按街道×科室×病种聚合为就诊模型；人事与号源数据构建106个科室容量画像；官网逐一核实构建25家竞争医院库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核心指标体系：原创HRI医疗辐射指数（区域患者占比÷区域人口占比，&gt;1辐射强、&lt;1覆盖弱），配套每万人就诊VPR、50/80/90%患者辐射半径、GOI增长机会指数、CPI竞争压力指数，实现排除人口规模影响的空间标准化评价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战略推演引擎（核心）：将专科能力提升、医联体建设、资源扩容三类管理动作参数化，经"干预映射"转化为需求侧潜在增量（距离衰减×专科占比×幅度）与供给侧容量约束（号源、床位、手术分路径计算），逐年累进释放，重算HRI、辐射半径、床位利用率等指标，输出街道级增量与风险提示；支持保守×0.75、中性×1.0、乐观×1.25三情景区间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AI引擎：采用"检测—归因—解释"三段式——规则引擎扫描全部街道巡检异常事件，贡献度归因拆分到科室与门诊/住院，DeepSeek只接收脱敏聚合结果生成管理语言，无网自动回退规则模板；大模型不计算、不碰明细，任何数字可沿"参数→公式→结果"复核，杜绝幻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6.技术栈：前端MapLibre GL三维地图+ECharts深色驾驶舱（库文件全部本地化），后端Python FastAPI+SQLite，单机部署、零外网依赖，医院内网可完整演示。</w:t>
      </w:r>
    </w:p>
    <w:p w14:paraId="1DC79C62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0BBCA13E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五、项目实施效果说明</w:t>
      </w:r>
    </w:p>
    <w:p w14:paraId="68A2A61A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kern w:val="0"/>
          <w:u w:val="single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平台功能已全部建成：五层闭环一期开发完成并于2026年9月院内实测通过——三维医疗沙盘（7个数据图层、2020—2026年份动画）、辐射分析面板（80%半径演化曲线）、106科室能力画像、AI智能巡检与战略助手、战略变量控制台与推演引擎、A/B/C对比与AI推荐、三情景分析、竞争压力图层、决策报告一键导出、历史方案库共12个功能模块均可实际操作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2.数据资产扎实：建成街道年度人口数据库（2020—2026）、本院就诊序列（总量锚定真实基线）、106科室容量画像、25家竞争医院库（2026年9月逐院官网核实）、街道边界地图库，数据口径与留痕规范完备。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管理应用价值已可演示：平台可直接回答"哪个街道人口增长快但我院覆盖不足""某专科提升30%三年能新增多少患者、床位是否成为瓶颈""医联体布局在哪些街道收益最大"等真实管理问题，并一键生成含参数、分年表、重点街道、风险提示与AI建议的领导版决策报告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4.演示与推广准备：已形成6步标准演示动线，全程内网离线可运行；经初步演示，管理部门对辐射版图、推演报告的直观性与说服力反馈积极，具备院内试运行条件。</w:t>
      </w:r>
    </w:p>
    <w:p w14:paraId="6BD2104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六、项目推广前景描述</w:t>
      </w:r>
    </w:p>
    <w:p w14:paraId="5697EEB7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b/>
          <w:bCs/>
          <w:sz w:val="21"/>
          <w:szCs w:val="21"/>
        </w:rPr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按"特定情况下局部推广、行业部分推广、行业全面推广"三个层次定位：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1.特定情况下局部推广（现阶段）：平台已在本院内网完成原型验证，下一步在青岛市第三人民医院正式部署试运行，服务院级战略决策；同属区市级、数据基础类似的二级以上医院可直接复制部署。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行业部分推广（1—2年）：依托医联体与市卫健、工会系统渠道，向青岛市属医院及省内二级以上医院推广，形成2—3家标杆后总结标准化数据接入与部署规范，预计全省可服务医院数十家；区县卫健部门可采用区域版开展医疗资源评价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行业全面推广（3—5年）：完成二期患者选择模型、多动作推演与转诊网络分析后，进行产品化包装并与医疗信息化企业联合推广，面向全国5000余家二级以上医院输出；其"人口×服务"空间数字孪生方法论亦可迁移至教育、养老等公共服务领域，具备跨行业推广潜力。</w:t>
      </w:r>
    </w:p>
    <w:p w14:paraId="2B430757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七、创新点、效果归纳及专利申请或授权情况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（一）创新点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1.评价范式创新：从"统计患者数量"升级为"人口标准化医疗服务空间评价"，患者与人口在同一街道空间体系内对标。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2.原创指标创新：HRI医疗辐射指数为项目原创核心指标，管理者无需统计知识即可读懂"我院在该区域辐射强不强"；配套GOI、CPI形成完整评价体系。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3.时空演化创新：2020—2026辐射版图逐年动态评价，80%辐射半径演化曲线直观呈现医院服务范围变化。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4.AI洞察闭环：AI智能巡检自动发现异常增长、覆盖不足、专科优势，贡献度归因到大模型管理解释，且AI只读脱敏聚合数据，安全可复核。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5.数字孪生推演创新：管理动作参数化→干预映射→街道级容量约束仿真→分年累进→A/B/C对比与三情景区间→AI最优推荐，实现从"展示沙盘"到"可计算沙盘"的跨越。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6.决策闭环创新：竞争截流识别与决策报告一键导出，打通"发现问题—推演未来—形成决策材料"的最后一公里。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7.工程模式创新：轻量技术栈、全本地化、零外网依赖、断网可演示，契合医院内网环境与医疗数据安全要求。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（二）效果归纳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1.根本解决问题：医院战略决策"凭经验、缺工具"问题——平台提供可量化、可推演、可复盘、可出报告的决策实验环境。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2.基本解决问题：患者来源与辐射能力"看不见、难比较"问题——三维沙盘与HRI指标体系使医院辐射版图一目了然。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3.部分解决问题：跨院协同与患者选择行为预测问题——一期已完成医联体动作推演框架，二期患者选择模型（Logistic+LightGBM+SHAP）建成后可进一步量化。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（三）专利申请或授权情况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项目核心技术全部由第一完成人自主研发，无外部单位权属争议；计划2026年内申请软件著作权《医院医疗服务战略数字孪生与AI推演平台V1.0》，并就"一种基于人口标准化辐射指数的医院服务能力推演方法"布局发明专利；暂无已授权专利。</w:t>
      </w:r>
    </w:p>
    <w:p w14:paraId="2C0869BB" w14:textId="77777777" w:rsidR="007E6830" w:rsidRPr="00F94913" w:rsidRDefault="007E6830">
      <w:pPr>
        <w:snapToGrid w:val="0"/>
        <w:spacing w:line="500" w:lineRule="exac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bookmarkEnd w:id="4"/>
    <w:p w14:paraId="4B32B22A" w14:textId="77777777" w:rsidR="007E6830" w:rsidRPr="00F94913" w:rsidRDefault="007E6830">
      <w:pPr>
        <w:spacing w:line="600" w:lineRule="exact"/>
        <w:jc w:val="left"/>
        <w:rPr>
          <w:rFonts w:ascii="Times New Roman" w:eastAsia="方正小标宋简体" w:hAnsi="Times New Roman" w:cs="Times New Roman"/>
          <w:color w:val="000000"/>
          <w:spacing w:val="-8"/>
          <w:sz w:val="32"/>
        </w:rPr>
      </w:pPr>
    </w:p>
    <w:sectPr w:rsidR="007E6830" w:rsidRPr="00F94913">
      <w:footerReference w:type="even" r:id="rId8"/>
      <w:footerReference w:type="default" r:id="rId9"/>
      <w:pgSz w:w="11906" w:h="16838"/>
      <w:pgMar w:top="2098" w:right="1474" w:bottom="1985" w:left="1588" w:header="1134" w:footer="1134" w:gutter="0"/>
      <w:pgNumType w:fmt="numberInDash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数字赋能大赛申报/附件2_参赛项目报告_已填写.docx","ReservedCode1":"","ContentPropagator":"001191110102MACQD9K64028705","PropagateID":"789920739515066#1788934327383","ReservedCode2":""}</vt:lpwstr>
  </property>
</Properties>
</file>