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14263D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40"/>
              </w:rPr>
              <w:t>超级 IP 智能体项目报价单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FFFFFF"/>
                <w:sz w:val="18"/>
              </w:rPr>
              <w:t>报价与依据｜V1.0｜2026 年 7 月 16 日</w:t>
            </w:r>
          </w:p>
        </w:tc>
      </w:tr>
    </w:tbl>
    <w:p>
      <w:pPr>
        <w:spacing w:before="100" w:after="140" w:line="276" w:lineRule="auto"/>
        <w:jc w:val="center"/>
      </w:pPr>
      <w:r>
        <w:rPr>
          <w:rFonts w:ascii="微软雅黑" w:hAnsi="微软雅黑" w:eastAsia="微软雅黑"/>
          <w:b/>
          <w:color w:val="008C95"/>
          <w:sz w:val="19"/>
        </w:rPr>
        <w:t>两种合作方式互斥；硬件、API、GPU、服务器、CDN、证书及法务等实际成本均由客户承担。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9411"/>
      </w:tblGrid>
      <w:tr>
        <w:tc>
          <w:tcPr>
            <w:tcW w:type="dxa" w:w="5074"/>
            <w:shd w:fill="1769AA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01</w:t>
            </w:r>
          </w:p>
        </w:tc>
        <w:tc>
          <w:tcPr>
            <w:tcW w:type="dxa" w:w="5074"/>
            <w:shd w:fill="EAF3FA"/>
            <w:tcMar>
              <w:top w:w="75" w:type="dxa"/>
              <w:start w:w="130" w:type="dxa"/>
              <w:bottom w:w="75" w:type="dxa"/>
              <w:end w:w="130" w:type="dxa"/>
            </w:tcMar>
          </w:tcPr>
          <w:p>
            <w:r>
              <w:rPr>
                <w:rFonts w:ascii="微软雅黑" w:hAnsi="微软雅黑" w:eastAsia="微软雅黑"/>
                <w:b/>
                <w:color w:val="14263D"/>
                <w:sz w:val="24"/>
              </w:rPr>
              <w:t>报价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c>
          <w:tcPr>
            <w:tcW w:type="dxa" w:w="1531"/>
            <w:shd w:fill="1769A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1769AA"/>
              <w:left w:val="single" w:sz="4" w:color="1769AA"/>
              <w:bottom w:val="single" w:sz="4" w:color="1769AA"/>
              <w:right w:val="single" w:sz="4" w:color="1769AA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合作方式</w:t>
            </w:r>
          </w:p>
        </w:tc>
        <w:tc>
          <w:tcPr>
            <w:tcW w:type="dxa" w:w="1587"/>
            <w:shd w:fill="1769A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1769AA"/>
              <w:left w:val="single" w:sz="4" w:color="1769AA"/>
              <w:bottom w:val="single" w:sz="4" w:color="1769AA"/>
              <w:right w:val="single" w:sz="4" w:color="1769AA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开发费用</w:t>
            </w:r>
          </w:p>
        </w:tc>
        <w:tc>
          <w:tcPr>
            <w:tcW w:type="dxa" w:w="1701"/>
            <w:shd w:fill="1769A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1769AA"/>
              <w:left w:val="single" w:sz="4" w:color="1769AA"/>
              <w:bottom w:val="single" w:sz="4" w:color="1769AA"/>
              <w:right w:val="single" w:sz="4" w:color="1769AA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后续维护</w:t>
            </w:r>
          </w:p>
        </w:tc>
        <w:tc>
          <w:tcPr>
            <w:tcW w:type="dxa" w:w="1474"/>
            <w:shd w:fill="1769A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1769AA"/>
              <w:left w:val="single" w:sz="4" w:color="1769AA"/>
              <w:bottom w:val="single" w:sz="4" w:color="1769AA"/>
              <w:right w:val="single" w:sz="4" w:color="1769AA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收入分成</w:t>
            </w:r>
          </w:p>
        </w:tc>
        <w:tc>
          <w:tcPr>
            <w:tcW w:type="dxa" w:w="3685"/>
            <w:shd w:fill="1769A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1769AA"/>
              <w:left w:val="single" w:sz="4" w:color="1769AA"/>
              <w:bottom w:val="single" w:sz="4" w:color="1769AA"/>
              <w:right w:val="single" w:sz="4" w:color="1769AA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报价依据</w:t>
            </w:r>
          </w:p>
        </w:tc>
      </w:tr>
      <w:tr>
        <w:tc>
          <w:tcPr>
            <w:tcW w:type="dxa" w:w="2030"/>
            <w:shd w:fill="E7F6F5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4263D"/>
                <w:sz w:val="17"/>
              </w:rPr>
              <w:t>分红合作</w:t>
            </w:r>
          </w:p>
        </w:tc>
        <w:tc>
          <w:tcPr>
            <w:tcW w:type="dxa" w:w="2030"/>
            <w:shd w:fill="E7F6F5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8C95"/>
                <w:sz w:val="20"/>
              </w:rPr>
              <w:t>¥0</w:t>
            </w:r>
          </w:p>
        </w:tc>
        <w:tc>
          <w:tcPr>
            <w:tcW w:type="dxa" w:w="2030"/>
            <w:shd w:fill="E7F6F5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8C95"/>
                <w:sz w:val="20"/>
              </w:rPr>
              <w:t>¥0</w:t>
            </w:r>
          </w:p>
        </w:tc>
        <w:tc>
          <w:tcPr>
            <w:tcW w:type="dxa" w:w="2030"/>
            <w:shd w:fill="E7F6F5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08C95"/>
                <w:sz w:val="20"/>
              </w:rPr>
              <w:t>30%</w:t>
            </w:r>
          </w:p>
        </w:tc>
        <w:tc>
          <w:tcPr>
            <w:tcW w:type="dxa" w:w="2030"/>
            <w:shd w:fill="E7F6F5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4263D"/>
                <w:sz w:val="17"/>
              </w:rPr>
              <w:t>不收开发及维护工资，以长期分成覆盖投入；合同口径参考 [5]</w:t>
            </w:r>
          </w:p>
        </w:tc>
      </w:tr>
      <w:tr>
        <w:tc>
          <w:tcPr>
            <w:tcW w:type="dxa" w:w="2030"/>
            <w:shd w:fill="EAF3FA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4263D"/>
                <w:sz w:val="17"/>
              </w:rPr>
              <w:t>固定费用</w:t>
            </w:r>
          </w:p>
        </w:tc>
        <w:tc>
          <w:tcPr>
            <w:tcW w:type="dxa" w:w="2030"/>
            <w:shd w:fill="EAF3FA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69AA"/>
                <w:sz w:val="20"/>
              </w:rPr>
              <w:t>¥200,000</w:t>
            </w:r>
          </w:p>
        </w:tc>
        <w:tc>
          <w:tcPr>
            <w:tcW w:type="dxa" w:w="2030"/>
            <w:shd w:fill="EAF3FA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69AA"/>
                <w:sz w:val="20"/>
              </w:rPr>
              <w:t>¥10,000 / 月</w:t>
            </w:r>
          </w:p>
        </w:tc>
        <w:tc>
          <w:tcPr>
            <w:tcW w:type="dxa" w:w="2030"/>
            <w:shd w:fill="EAF3FA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69AA"/>
                <w:sz w:val="20"/>
              </w:rPr>
              <w:t>0%</w:t>
            </w:r>
          </w:p>
        </w:tc>
        <w:tc>
          <w:tcPr>
            <w:tcW w:type="dxa" w:w="2030"/>
            <w:shd w:fill="EAF3FA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14263D"/>
                <w:sz w:val="17"/>
              </w:rPr>
              <w:t>按 18-29 个工作日、完整 MVP 验收及持续维护范围估算 [1]-[4]</w:t>
            </w:r>
          </w:p>
        </w:tc>
      </w:tr>
    </w:tbl>
    <w:p>
      <w:pPr>
        <w:spacing w:before="100" w:after="120" w:line="276" w:lineRule="auto"/>
      </w:pPr>
      <w:r>
        <w:rPr>
          <w:rFonts w:ascii="微软雅黑" w:hAnsi="微软雅黑" w:eastAsia="微软雅黑"/>
          <w:b/>
          <w:color w:val="526174"/>
          <w:sz w:val="17"/>
        </w:rPr>
        <w:t>固定费用付款建议：</w:t>
      </w:r>
      <w:r>
        <w:rPr>
          <w:rFonts w:ascii="微软雅黑" w:hAnsi="微软雅黑" w:eastAsia="微软雅黑"/>
          <w:b w:val="0"/>
          <w:color w:val="14263D"/>
          <w:sz w:val="17"/>
        </w:rPr>
        <w:t>40% 启动款 + 40% 核心链路验收 + 20% 最终交付。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9411"/>
      </w:tblGrid>
      <w:tr>
        <w:tc>
          <w:tcPr>
            <w:tcW w:type="dxa" w:w="5074"/>
            <w:shd w:fill="1769AA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02</w:t>
            </w:r>
          </w:p>
        </w:tc>
        <w:tc>
          <w:tcPr>
            <w:tcW w:type="dxa" w:w="5074"/>
            <w:shd w:fill="EAF3FA"/>
            <w:tcMar>
              <w:top w:w="75" w:type="dxa"/>
              <w:start w:w="130" w:type="dxa"/>
              <w:bottom w:w="75" w:type="dxa"/>
              <w:end w:w="130" w:type="dxa"/>
            </w:tcMar>
          </w:tcPr>
          <w:p>
            <w:r>
              <w:rPr>
                <w:rFonts w:ascii="微软雅黑" w:hAnsi="微软雅黑" w:eastAsia="微软雅黑"/>
                <w:b/>
                <w:color w:val="14263D"/>
                <w:sz w:val="24"/>
              </w:rPr>
              <w:t>报价依据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8107"/>
      </w:tblGrid>
      <w:tr>
        <w:tc>
          <w:tcPr>
            <w:tcW w:type="dxa" w:w="1871"/>
            <w:shd w:fill="F4F6F8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</w:tcPr>
          <w:p>
            <w:r>
              <w:rPr>
                <w:rFonts w:ascii="微软雅黑" w:hAnsi="微软雅黑" w:eastAsia="微软雅黑"/>
                <w:b/>
                <w:color w:val="14263D"/>
                <w:sz w:val="17"/>
              </w:rPr>
              <w:t>开发工作量</w:t>
            </w:r>
          </w:p>
        </w:tc>
        <w:tc>
          <w:tcPr>
            <w:tcW w:type="dxa" w:w="8107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</w:tcPr>
          <w:p>
            <w:r>
              <w:rPr>
                <w:rFonts w:ascii="微软雅黑" w:hAnsi="微软雅黑" w:eastAsia="微软雅黑"/>
                <w:b w:val="0"/>
                <w:color w:val="14263D"/>
                <w:sz w:val="17"/>
              </w:rPr>
              <w:t>MVP 被拆分为 5 个阶段，合计约 18-29 个工作日，包含桌面端、本地运行时、AI 模型适配、音视频处理和安装打包。参考 [1]。</w:t>
            </w:r>
          </w:p>
        </w:tc>
      </w:tr>
      <w:tr>
        <w:tc>
          <w:tcPr>
            <w:tcW w:type="dxa" w:w="1871"/>
            <w:shd w:fill="F4F6F8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</w:tcPr>
          <w:p>
            <w:r>
              <w:rPr>
                <w:rFonts w:ascii="微软雅黑" w:hAnsi="微软雅黑" w:eastAsia="微软雅黑"/>
                <w:b/>
                <w:color w:val="14263D"/>
                <w:sz w:val="17"/>
              </w:rPr>
              <w:t>交付验收</w:t>
            </w:r>
          </w:p>
        </w:tc>
        <w:tc>
          <w:tcPr>
            <w:tcW w:type="dxa" w:w="8107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</w:tcPr>
          <w:p>
            <w:r>
              <w:rPr>
                <w:rFonts w:ascii="微软雅黑" w:hAnsi="微软雅黑" w:eastAsia="微软雅黑"/>
                <w:b w:val="0"/>
                <w:color w:val="14263D"/>
                <w:sz w:val="17"/>
              </w:rPr>
              <w:t>需要完成设备检测、文案、声音克隆、对口型、字幕、封面、导出、任务恢复和 API Key 安全等完整验收。参考 [2]。</w:t>
            </w:r>
          </w:p>
        </w:tc>
      </w:tr>
      <w:tr>
        <w:tc>
          <w:tcPr>
            <w:tcW w:type="dxa" w:w="1871"/>
            <w:shd w:fill="F4F6F8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</w:tcPr>
          <w:p>
            <w:r>
              <w:rPr>
                <w:rFonts w:ascii="微软雅黑" w:hAnsi="微软雅黑" w:eastAsia="微软雅黑"/>
                <w:b/>
                <w:color w:val="14263D"/>
                <w:sz w:val="17"/>
              </w:rPr>
              <w:t>维护工作</w:t>
            </w:r>
          </w:p>
        </w:tc>
        <w:tc>
          <w:tcPr>
            <w:tcW w:type="dxa" w:w="8107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</w:tcPr>
          <w:p>
            <w:r>
              <w:rPr>
                <w:rFonts w:ascii="微软雅黑" w:hAnsi="微软雅黑" w:eastAsia="微软雅黑"/>
                <w:b w:val="0"/>
                <w:color w:val="14263D"/>
                <w:sz w:val="17"/>
              </w:rPr>
              <w:t>模型/API 兼容、抖音解析变化、字幕与导出稳定性需要持续适配，因此固定合作模式设月度维护费。参考 [3][4]。</w:t>
            </w:r>
          </w:p>
        </w:tc>
      </w:tr>
      <w:tr>
        <w:tc>
          <w:tcPr>
            <w:tcW w:type="dxa" w:w="1871"/>
            <w:shd w:fill="FFF7E5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</w:tcPr>
          <w:p>
            <w:r>
              <w:rPr>
                <w:rFonts w:ascii="微软雅黑" w:hAnsi="微软雅黑" w:eastAsia="微软雅黑"/>
                <w:b/>
                <w:color w:val="C58B24"/>
                <w:sz w:val="17"/>
              </w:rPr>
              <w:t>分红方式</w:t>
            </w:r>
          </w:p>
        </w:tc>
        <w:tc>
          <w:tcPr>
            <w:tcW w:type="dxa" w:w="8107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</w:tcPr>
          <w:p>
            <w:r>
              <w:rPr>
                <w:rFonts w:ascii="微软雅黑" w:hAnsi="微软雅黑" w:eastAsia="微软雅黑"/>
                <w:b w:val="0"/>
                <w:color w:val="14263D"/>
                <w:sz w:val="17"/>
              </w:rPr>
              <w:t>分红模式下我方开发费和维护费均为 ¥0，以产品实收收入的 30% 替代工资；结算应明确收入定义和查账权。参考 [5]。</w:t>
            </w:r>
          </w:p>
        </w:tc>
      </w:tr>
      <w:tr>
        <w:tc>
          <w:tcPr>
            <w:tcW w:type="dxa" w:w="1871"/>
            <w:shd w:fill="F4F6F8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</w:tcPr>
          <w:p>
            <w:r>
              <w:rPr>
                <w:rFonts w:ascii="微软雅黑" w:hAnsi="微软雅黑" w:eastAsia="微软雅黑"/>
                <w:b/>
                <w:color w:val="14263D"/>
                <w:sz w:val="17"/>
              </w:rPr>
              <w:t>实际成本</w:t>
            </w:r>
          </w:p>
        </w:tc>
        <w:tc>
          <w:tcPr>
            <w:tcW w:type="dxa" w:w="8107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</w:tcPr>
          <w:p>
            <w:r>
              <w:rPr>
                <w:rFonts w:ascii="微软雅黑" w:hAnsi="微软雅黑" w:eastAsia="微软雅黑"/>
                <w:b w:val="0"/>
                <w:color w:val="14263D"/>
                <w:sz w:val="17"/>
              </w:rPr>
              <w:t>硬件、API、GPU、服务器、CDN、证书及法务不属于我方工资，由客户按实际账单承担。参考 [6]-[9]。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9411"/>
      </w:tblGrid>
      <w:tr>
        <w:tc>
          <w:tcPr>
            <w:tcW w:type="dxa" w:w="5074"/>
            <w:shd w:fill="1769AA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03</w:t>
            </w:r>
          </w:p>
        </w:tc>
        <w:tc>
          <w:tcPr>
            <w:tcW w:type="dxa" w:w="5074"/>
            <w:shd w:fill="EAF3FA"/>
            <w:tcMar>
              <w:top w:w="75" w:type="dxa"/>
              <w:start w:w="130" w:type="dxa"/>
              <w:bottom w:w="75" w:type="dxa"/>
              <w:end w:w="130" w:type="dxa"/>
            </w:tcMar>
          </w:tcPr>
          <w:p>
            <w:r>
              <w:rPr>
                <w:rFonts w:ascii="微软雅黑" w:hAnsi="微软雅黑" w:eastAsia="微软雅黑"/>
                <w:b/>
                <w:color w:val="14263D"/>
                <w:sz w:val="24"/>
              </w:rPr>
              <w:t>参考文档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383"/>
            <w:shd w:fill="F4F6F8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</w:tcPr>
          <w:p>
            <w:pPr>
              <w:jc w:val="center"/>
            </w:pPr>
            <w:hyperlink r:id="rId11">
              <w:r>
                <w:rPr>
                  <w:rFonts w:eastAsia="微软雅黑"/>
                  <w:color w:val="1769AA"/>
                  <w:u w:val="single"/>
                  <w:sz w:val="16"/>
                </w:rPr>
                <w:t>[1] MVP 阶段与工期</w:t>
              </w:r>
            </w:hyperlink>
          </w:p>
        </w:tc>
        <w:tc>
          <w:tcPr>
            <w:tcW w:type="dxa" w:w="3383"/>
            <w:shd w:fill="F4F6F8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</w:tcPr>
          <w:p>
            <w:pPr>
              <w:jc w:val="center"/>
            </w:pPr>
            <w:hyperlink r:id="rId12">
              <w:r>
                <w:rPr>
                  <w:rFonts w:eastAsia="微软雅黑"/>
                  <w:color w:val="1769AA"/>
                  <w:u w:val="single"/>
                  <w:sz w:val="16"/>
                </w:rPr>
                <w:t>[2] MVP 总验收</w:t>
              </w:r>
            </w:hyperlink>
          </w:p>
        </w:tc>
        <w:tc>
          <w:tcPr>
            <w:tcW w:type="dxa" w:w="3383"/>
            <w:shd w:fill="F4F6F8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</w:tcPr>
          <w:p>
            <w:pPr>
              <w:jc w:val="center"/>
            </w:pPr>
            <w:hyperlink r:id="rId13">
              <w:r>
                <w:rPr>
                  <w:rFonts w:eastAsia="微软雅黑"/>
                  <w:color w:val="1769AA"/>
                  <w:u w:val="single"/>
                  <w:sz w:val="16"/>
                </w:rPr>
                <w:t>[3] 可维护性要求</w:t>
              </w:r>
            </w:hyperlink>
          </w:p>
        </w:tc>
      </w:tr>
      <w:tr>
        <w:tc>
          <w:tcPr>
            <w:tcW w:type="dxa" w:w="3383"/>
            <w:shd w:fill="F4F6F8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</w:tcPr>
          <w:p>
            <w:pPr>
              <w:jc w:val="center"/>
            </w:pPr>
            <w:hyperlink r:id="rId14">
              <w:r>
                <w:rPr>
                  <w:rFonts w:eastAsia="微软雅黑"/>
                  <w:color w:val="1769AA"/>
                  <w:u w:val="single"/>
                  <w:sz w:val="16"/>
                </w:rPr>
                <w:t>[4] 风险与应对</w:t>
              </w:r>
            </w:hyperlink>
          </w:p>
        </w:tc>
        <w:tc>
          <w:tcPr>
            <w:tcW w:type="dxa" w:w="3383"/>
            <w:shd w:fill="F4F6F8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</w:tcPr>
          <w:p>
            <w:pPr>
              <w:jc w:val="center"/>
            </w:pPr>
            <w:hyperlink r:id="rId15">
              <w:r>
                <w:rPr>
                  <w:rFonts w:eastAsia="微软雅黑"/>
                  <w:color w:val="1769AA"/>
                  <w:u w:val="single"/>
                  <w:sz w:val="16"/>
                </w:rPr>
                <w:t>[5] 分红协议条款</w:t>
              </w:r>
            </w:hyperlink>
          </w:p>
        </w:tc>
        <w:tc>
          <w:tcPr>
            <w:tcW w:type="dxa" w:w="3383"/>
            <w:shd w:fill="F4F6F8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</w:tcPr>
          <w:p>
            <w:pPr>
              <w:jc w:val="center"/>
            </w:pPr>
            <w:hyperlink r:id="rId16">
              <w:r>
                <w:rPr>
                  <w:rFonts w:eastAsia="微软雅黑"/>
                  <w:color w:val="1769AA"/>
                  <w:u w:val="single"/>
                  <w:sz w:val="16"/>
                </w:rPr>
                <w:t>[6] 直接成本范围</w:t>
              </w:r>
            </w:hyperlink>
          </w:p>
        </w:tc>
      </w:tr>
      <w:tr>
        <w:tc>
          <w:tcPr>
            <w:tcW w:type="dxa" w:w="3383"/>
            <w:shd w:fill="F4F6F8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</w:tcPr>
          <w:p>
            <w:pPr>
              <w:jc w:val="center"/>
            </w:pPr>
            <w:hyperlink r:id="rId17">
              <w:r>
                <w:rPr>
                  <w:rFonts w:eastAsia="微软雅黑"/>
                  <w:color w:val="1769AA"/>
                  <w:u w:val="single"/>
                  <w:sz w:val="16"/>
                </w:rPr>
                <w:t>[7] 硬件成本</w:t>
              </w:r>
            </w:hyperlink>
          </w:p>
        </w:tc>
        <w:tc>
          <w:tcPr>
            <w:tcW w:type="dxa" w:w="3383"/>
            <w:shd w:fill="F4F6F8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</w:tcPr>
          <w:p>
            <w:pPr>
              <w:jc w:val="center"/>
            </w:pPr>
            <w:hyperlink r:id="rId18">
              <w:r>
                <w:rPr>
                  <w:rFonts w:eastAsia="微软雅黑"/>
                  <w:color w:val="1769AA"/>
                  <w:u w:val="single"/>
                  <w:sz w:val="16"/>
                </w:rPr>
                <w:t>[8] LLM API 成本</w:t>
              </w:r>
            </w:hyperlink>
          </w:p>
        </w:tc>
        <w:tc>
          <w:tcPr>
            <w:tcW w:type="dxa" w:w="3383"/>
            <w:shd w:fill="F4F6F8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9E0E7"/>
              <w:left w:val="single" w:sz="4" w:color="D9E0E7"/>
              <w:bottom w:val="single" w:sz="4" w:color="D9E0E7"/>
              <w:right w:val="single" w:sz="4" w:color="D9E0E7"/>
            </w:tcBorders>
          </w:tcPr>
          <w:p>
            <w:pPr>
              <w:jc w:val="center"/>
            </w:pPr>
            <w:hyperlink r:id="rId19">
              <w:r>
                <w:rPr>
                  <w:rFonts w:eastAsia="微软雅黑"/>
                  <w:color w:val="1769AA"/>
                  <w:u w:val="single"/>
                  <w:sz w:val="16"/>
                </w:rPr>
                <w:t>[9] 签名与分发成本</w:t>
              </w:r>
            </w:hyperlink>
          </w:p>
        </w:tc>
      </w:tr>
    </w:tbl>
    <w:p>
      <w:pPr>
        <w:spacing w:before="120" w:after="0" w:line="276" w:lineRule="auto"/>
        <w:jc w:val="center"/>
      </w:pPr>
      <w:r>
        <w:rPr>
          <w:rFonts w:ascii="微软雅黑" w:hAnsi="微软雅黑" w:eastAsia="微软雅黑"/>
          <w:b w:val="0"/>
          <w:color w:val="526174"/>
          <w:sz w:val="16"/>
        </w:rPr>
        <w:t>说明：¥200,000 与 ¥10,000/月为我方依据上述范围和风险形成的商务报价，并非参考软件官方售价。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09" w:right="879" w:bottom="652" w:left="879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26174"/>
        <w:sz w:val="15"/>
      </w:rPr>
      <w:t>报价有效期 30 日｜最终以双方签署的合同及附件为准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b/>
        <w:color w:val="526174"/>
        <w:sz w:val="15"/>
      </w:rPr>
      <w:t>超级 IP 智能体项目报价单｜客户版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微软雅黑" w:hAnsi="微软雅黑" w:eastAsia="微软雅黑"/>
      <w:color w:val="14263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nihao555-hub/human/blob/b5d50c5277dad7d42ba4c534989decaa013943d7/docs/developer-prd.md#L867-L926" TargetMode="External"/><Relationship Id="rId12" Type="http://schemas.openxmlformats.org/officeDocument/2006/relationships/hyperlink" Target="https://github.com/nihao555-hub/human/blob/b5d50c5277dad7d42ba4c534989decaa013943d7/docs/developer-prd.md#L941-L967" TargetMode="External"/><Relationship Id="rId13" Type="http://schemas.openxmlformats.org/officeDocument/2006/relationships/hyperlink" Target="https://github.com/nihao555-hub/human/blob/b5d50c5277dad7d42ba4c534989decaa013943d7/docs/prd-human-ip-studio.md#L271-L277" TargetMode="External"/><Relationship Id="rId14" Type="http://schemas.openxmlformats.org/officeDocument/2006/relationships/hyperlink" Target="https://github.com/nihao555-hub/human/blob/b5d50c5277dad7d42ba4c534989decaa013943d7/docs/prd-human-ip-studio.md#L370-L379" TargetMode="External"/><Relationship Id="rId15" Type="http://schemas.openxmlformats.org/officeDocument/2006/relationships/hyperlink" Target="https://www.sprintlaw.com/articles/revenue-share-agreement-clauses-risks-and-review-points-for-us-businesses/" TargetMode="External"/><Relationship Id="rId16" Type="http://schemas.openxmlformats.org/officeDocument/2006/relationships/hyperlink" Target="https://github.com/nihao555-hub/human/blob/b5d50c5277dad7d42ba4c534989decaa013943d7/docs/development-cost-estimate.md#L3-L23" TargetMode="External"/><Relationship Id="rId17" Type="http://schemas.openxmlformats.org/officeDocument/2006/relationships/hyperlink" Target="https://github.com/nihao555-hub/human/blob/b5d50c5277dad7d42ba4c534989decaa013943d7/docs/development-cost-estimate.md#L51-L75" TargetMode="External"/><Relationship Id="rId18" Type="http://schemas.openxmlformats.org/officeDocument/2006/relationships/hyperlink" Target="https://github.com/nihao555-hub/human/blob/b5d50c5277dad7d42ba4c534989decaa013943d7/docs/development-cost-estimate.md#L90-L124" TargetMode="External"/><Relationship Id="rId19" Type="http://schemas.openxmlformats.org/officeDocument/2006/relationships/hyperlink" Target="https://github.com/nihao555-hub/human/blob/b5d50c5277dad7d42ba4c534989decaa013943d7/docs/development-cost-estimate.md#L144-L1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超级IP智能体项目报价单</dc:title>
  <dc:subject>客户版报价与依据</dc:subject>
  <dc:creator>项目团队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