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769AA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</w:p>
        </w:tc>
      </w:tr>
    </w:tbl>
    <w:p/>
    <w:p/>
    <w:p/>
    <w:p>
      <w:pPr>
        <w:spacing w:before="0" w:after="160" w:line="300" w:lineRule="auto"/>
        <w:jc w:val="center"/>
      </w:pPr>
      <w:r>
        <w:rPr>
          <w:rFonts w:ascii="微软雅黑" w:hAnsi="微软雅黑" w:eastAsia="微软雅黑"/>
          <w:b/>
          <w:color w:val="13233A"/>
          <w:sz w:val="58"/>
        </w:rPr>
        <w:t>超级 IP 智能体</w:t>
      </w:r>
    </w:p>
    <w:p>
      <w:pPr>
        <w:spacing w:before="0" w:after="320" w:line="300" w:lineRule="auto"/>
        <w:jc w:val="center"/>
      </w:pPr>
      <w:r>
        <w:rPr>
          <w:rFonts w:ascii="微软雅黑" w:hAnsi="微软雅黑" w:eastAsia="微软雅黑"/>
          <w:b/>
          <w:color w:val="1769AA"/>
          <w:sz w:val="50"/>
        </w:rPr>
        <w:t>项目开发与合作方案</w:t>
      </w:r>
    </w:p>
    <w:p>
      <w:pPr>
        <w:spacing w:before="0" w:after="560" w:line="300" w:lineRule="auto"/>
        <w:jc w:val="center"/>
      </w:pPr>
      <w:r>
        <w:rPr>
          <w:rFonts w:ascii="微软雅黑" w:hAnsi="微软雅黑" w:eastAsia="微软雅黑"/>
          <w:b w:val="0"/>
          <w:color w:val="435166"/>
          <w:sz w:val="22"/>
        </w:rPr>
        <w:t>本地优先 AI 口播 · 声音克隆 · 数字人对口型 · 字幕与视频导出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</w:tblGrid>
      <w:tr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  <w:shd w:fill="EAF3FA"/>
          </w:tcPr>
          <w:p>
            <w:r>
              <w:rPr>
                <w:rFonts w:ascii="微软雅黑" w:hAnsi="微软雅黑" w:eastAsia="微软雅黑"/>
                <w:b/>
                <w:color w:val="435166"/>
                <w:sz w:val="19"/>
              </w:rPr>
              <w:t>客户名称</w:t>
            </w:r>
          </w:p>
        </w:tc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____________________________</w:t>
            </w:r>
          </w:p>
        </w:tc>
      </w:tr>
      <w:tr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  <w:shd w:fill="EAF3FA"/>
          </w:tcPr>
          <w:p>
            <w:r>
              <w:rPr>
                <w:rFonts w:ascii="微软雅黑" w:hAnsi="微软雅黑" w:eastAsia="微软雅黑"/>
                <w:b/>
                <w:color w:val="435166"/>
                <w:sz w:val="19"/>
              </w:rPr>
              <w:t>方案版本</w:t>
            </w:r>
          </w:p>
        </w:tc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V1.0｜客户沟通版</w:t>
            </w:r>
          </w:p>
        </w:tc>
      </w:tr>
      <w:tr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  <w:shd w:fill="EAF3FA"/>
          </w:tcPr>
          <w:p>
            <w:r>
              <w:rPr>
                <w:rFonts w:ascii="微软雅黑" w:hAnsi="微软雅黑" w:eastAsia="微软雅黑"/>
                <w:b/>
                <w:color w:val="435166"/>
                <w:sz w:val="19"/>
              </w:rPr>
              <w:t>编制日期</w:t>
            </w:r>
          </w:p>
        </w:tc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2026 年 7 月 16 日</w:t>
            </w:r>
          </w:p>
        </w:tc>
      </w:tr>
      <w:tr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  <w:shd w:fill="EAF3FA"/>
          </w:tcPr>
          <w:p>
            <w:r>
              <w:rPr>
                <w:rFonts w:ascii="微软雅黑" w:hAnsi="微软雅黑" w:eastAsia="微软雅黑"/>
                <w:b/>
                <w:color w:val="435166"/>
                <w:sz w:val="19"/>
              </w:rPr>
              <w:t>报价有效期</w:t>
            </w:r>
          </w:p>
        </w:tc>
        <w:tc>
          <w:tcPr>
            <w:tcW w:type="dxa" w:w="4933"/>
            <w:tcMar>
              <w:top w:w="100" w:type="dxa"/>
              <w:start w:w="180" w:type="dxa"/>
              <w:bottom w:w="100" w:type="dxa"/>
              <w:end w:w="180" w:type="dxa"/>
            </w:tcMar>
            <w:tcBorders>
              <w:bottom w:val="single" w:sz="5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自出具之日起 30 日</w:t>
            </w:r>
          </w:p>
        </w:tc>
      </w:tr>
    </w:tbl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8C95"/>
          <w:sz w:val="21"/>
        </w:rPr>
        <w:t>两种合作方式互斥｜所有第三方实际成本均由客户承担</w:t>
      </w:r>
    </w:p>
    <w:p>
      <w:pPr>
        <w:jc w:val="center"/>
      </w:pPr>
      <w:r>
        <w:rPr>
          <w:rFonts w:ascii="微软雅黑" w:hAnsi="微软雅黑" w:eastAsia="微软雅黑"/>
          <w:b w:val="0"/>
          <w:color w:val="435166"/>
          <w:sz w:val="19"/>
        </w:rPr>
        <w:t>方案 A：零开发费 + 30% 收入分成　｜　方案 B：固定开发费 + 月度维护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01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合作方案摘要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先选合作模式，再确认项目范围与技术路线</w:t>
            </w:r>
          </w:p>
        </w:tc>
      </w:tr>
    </w:tbl>
    <w:p>
      <w:pPr>
        <w:spacing w:after="0"/>
      </w:pPr>
    </w:p>
    <w:p>
      <w:pPr>
        <w:spacing w:before="0" w:after="200" w:line="300" w:lineRule="auto"/>
      </w:pPr>
      <w:r>
        <w:rPr>
          <w:rFonts w:ascii="微软雅黑" w:hAnsi="微软雅黑" w:eastAsia="微软雅黑"/>
          <w:b w:val="0"/>
          <w:color w:val="13233A"/>
          <w:sz w:val="21"/>
        </w:rPr>
        <w:t>本项目提供两种互斥合作方式。无论选择哪一种，硬件、云模型/API、服务器、存储、证书及法务等实际支出均由客户承担。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4933"/>
            <w:shd w:fill="E7F6F5"/>
            <w:tcMar>
              <w:top w:w="150" w:type="dxa"/>
              <w:start w:w="260" w:type="dxa"/>
              <w:bottom w:w="150" w:type="dxa"/>
              <w:end w:w="260" w:type="dxa"/>
            </w:tcMar>
            <w:tcBorders>
              <w:top w:val="single" w:sz="18" w:color="008C95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008C95"/>
                <w:sz w:val="28"/>
              </w:rPr>
              <w:t>方案 A｜分红合作</w:t>
            </w:r>
          </w:p>
          <w:p>
            <w:pPr>
              <w:spacing w:before="100" w:after="100" w:line="300" w:lineRule="auto"/>
            </w:pP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开发费  ¥0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维护费  ¥0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收入分成  30%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13233A"/>
                <w:sz w:val="23"/>
              </w:rPr>
              <w:t>客户承担全部实际成本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8"/>
              </w:rPr>
              <w:t>适合：双方长期共同运营、共同承担商业结果。</w:t>
            </w:r>
          </w:p>
        </w:tc>
        <w:tc>
          <w:tcPr>
            <w:tcW w:type="dxa" w:w="4933"/>
            <w:shd w:fill="EAF3FA"/>
            <w:tcMar>
              <w:top w:w="150" w:type="dxa"/>
              <w:start w:w="260" w:type="dxa"/>
              <w:bottom w:w="150" w:type="dxa"/>
              <w:end w:w="260" w:type="dxa"/>
            </w:tcMar>
            <w:tcBorders>
              <w:top w:val="single" w:sz="18" w:color="1769AA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769AA"/>
                <w:sz w:val="28"/>
              </w:rPr>
              <w:t>方案 B｜固定开发</w:t>
            </w:r>
          </w:p>
          <w:p>
            <w:pPr>
              <w:spacing w:before="100" w:after="100" w:line="300" w:lineRule="auto"/>
            </w:pP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全栈开发费  ¥200,000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维护费  ¥10,000 / 月</w:t>
            </w:r>
            <w:r>
              <w:br/>
            </w:r>
            <w:r>
              <w:rPr>
                <w:rFonts w:ascii="微软雅黑" w:hAnsi="微软雅黑" w:eastAsia="微软雅黑"/>
                <w:b/>
                <w:color w:val="13233A"/>
                <w:sz w:val="23"/>
              </w:rPr>
              <w:t>不参与收入分成</w:t>
            </w:r>
            <w:r>
              <w:br/>
            </w:r>
            <w:r>
              <w:rPr>
                <w:rFonts w:ascii="微软雅黑" w:hAnsi="微软雅黑" w:eastAsia="微软雅黑"/>
                <w:b w:val="0"/>
                <w:color w:val="13233A"/>
                <w:sz w:val="23"/>
              </w:rPr>
              <w:t>客户承担全部实际成本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8"/>
              </w:rPr>
              <w:t>适合：客户希望获得明确交付预算与独立经营收益。</w:t>
            </w:r>
          </w:p>
        </w:tc>
      </w:tr>
    </w:tbl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1">
        <w:r>
          <w:rPr>
            <w:rFonts w:ascii="Microsoft YaHei" w:hAnsi="Microsoft YaHei" w:eastAsia="微软雅黑"/>
            <w:color w:val="1769AA"/>
            <w:sz w:val="17.0"/>
            <w:u w:val="single"/>
          </w:rPr>
          <w:t>[1] MVP 阶段与工作量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2">
        <w:r>
          <w:rPr>
            <w:rFonts w:ascii="Microsoft YaHei" w:hAnsi="Microsoft YaHei" w:eastAsia="微软雅黑"/>
            <w:color w:val="1769AA"/>
            <w:sz w:val="17.0"/>
            <w:u w:val="single"/>
          </w:rPr>
          <w:t>[2] MVP 验收标准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3">
        <w:r>
          <w:rPr>
            <w:rFonts w:ascii="Microsoft YaHei" w:hAnsi="Microsoft YaHei" w:eastAsia="微软雅黑"/>
            <w:color w:val="1769AA"/>
            <w:sz w:val="17.0"/>
            <w:u w:val="single"/>
          </w:rPr>
          <w:t>[3] 分红合同条款参考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5"/>
            <w:tcMar>
              <w:top w:w="100" w:type="dxa"/>
              <w:start w:w="220" w:type="dxa"/>
              <w:bottom w:w="100" w:type="dxa"/>
              <w:end w:w="220" w:type="dxa"/>
            </w:tcMar>
            <w:tcBorders>
              <w:top w:val="single" w:sz="3" w:color="D9E0E7"/>
              <w:left w:val="single" w:sz="20" w:color="C8962E"/>
              <w:bottom w:val="single" w:sz="3" w:color="D9E0E7"/>
              <w:right w:val="single" w:sz="3" w:color="D9E0E7"/>
            </w:tcBorders>
          </w:tcPr>
          <w:p>
            <w:r>
              <w:rPr>
                <w:rFonts w:ascii="微软雅黑" w:hAnsi="微软雅黑" w:eastAsia="微软雅黑"/>
                <w:b/>
                <w:color w:val="C8962E"/>
                <w:sz w:val="21"/>
              </w:rPr>
              <w:t>建议先确认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13233A"/>
                <w:sz w:val="20"/>
              </w:rPr>
              <w:t>合作模式确定后，再锁定操作系统、首发模型、最低显卡配置、是否支持抖音解析、授权方式及源码/IP安排。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02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MVP 交付范围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以可安装、可生成、可导出、可维护为验收主线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3233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329"/>
            <w:shd w:fill="13233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MVP 交付内容</w:t>
            </w:r>
          </w:p>
        </w:tc>
        <w:tc>
          <w:tcPr>
            <w:tcW w:type="dxa" w:w="2381"/>
            <w:shd w:fill="13233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交付形态</w:t>
            </w:r>
          </w:p>
        </w:tc>
      </w:tr>
      <w:tr>
        <w:trPr>
          <w:cantSplit w:val="true"/>
        </w:trPr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桌面工作台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Windows 优先；项目、素材、任务和导出统一管理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桌面安装包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设备与模型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GPU/显存/内存/磁盘体检；模型安装、校验和健康检查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本地运行时</w:t>
            </w:r>
          </w:p>
        </w:tc>
      </w:tr>
      <w:tr>
        <w:trPr>
          <w:cantSplit w:val="true"/>
        </w:trPr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文案能力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主题/文案/视频输入；LLM 改写、标题、敏感词初筛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LLM API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声音能力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 TTS、声音克隆、音频转码、试听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本地模型</w:t>
            </w:r>
          </w:p>
        </w:tc>
      </w:tr>
      <w:tr>
        <w:trPr>
          <w:cantSplit w:val="true"/>
        </w:trPr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数字人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授权人物素材导入；本地视频对口型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 GPU 推理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字幕与封面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字幕识别、编辑、排版；基础封面模板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本地编辑器</w:t>
            </w:r>
          </w:p>
        </w:tc>
      </w:tr>
      <w:tr>
        <w:trPr>
          <w:cantSplit w:val="true"/>
        </w:trPr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视频导出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FFmpeg 合成、MP4 导出、质量检查</w:t>
            </w:r>
          </w:p>
        </w:tc>
        <w:tc>
          <w:tcPr>
            <w:tcW w:type="dxa" w:w="3289"/>
            <w:shd w:fill="FFFFFF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本地导出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稳定与安全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持久化任务、失败重试、日志脱敏、Key 加密</w:t>
            </w:r>
          </w:p>
        </w:tc>
        <w:tc>
          <w:tcPr>
            <w:tcW w:type="dxa" w:w="3289"/>
            <w:shd w:fill="F4F6F8"/>
            <w:tcMar>
              <w:top w:w="55" w:type="dxa"/>
              <w:start w:w="130" w:type="dxa"/>
              <w:bottom w:w="55" w:type="dxa"/>
              <w:end w:w="13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基础工程能力</w:t>
            </w:r>
          </w:p>
        </w:tc>
      </w:tr>
    </w:tbl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1">
        <w:r>
          <w:rPr>
            <w:rFonts w:ascii="Microsoft YaHei" w:hAnsi="Microsoft YaHei" w:eastAsia="微软雅黑"/>
            <w:color w:val="1769AA"/>
            <w:sz w:val="17.0"/>
            <w:u w:val="single"/>
          </w:rPr>
          <w:t>[1] 开发 PRD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2">
        <w:r>
          <w:rPr>
            <w:rFonts w:ascii="Microsoft YaHei" w:hAnsi="Microsoft YaHei" w:eastAsia="微软雅黑"/>
            <w:color w:val="1769AA"/>
            <w:sz w:val="17.0"/>
            <w:u w:val="single"/>
          </w:rPr>
          <w:t>[2] MVP 总验收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4">
        <w:r>
          <w:rPr>
            <w:rFonts w:ascii="Microsoft YaHei" w:hAnsi="Microsoft YaHei" w:eastAsia="微软雅黑"/>
            <w:color w:val="1769AA"/>
            <w:sz w:val="17.0"/>
            <w:u w:val="single"/>
          </w:rPr>
          <w:t>[10] 参考产品问题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5">
        <w:r>
          <w:rPr>
            <w:rFonts w:ascii="Microsoft YaHei" w:hAnsi="Microsoft YaHei" w:eastAsia="微软雅黑"/>
            <w:color w:val="1769AA"/>
            <w:sz w:val="17.0"/>
            <w:u w:val="single"/>
          </w:rPr>
          <w:t>[11] 操作文档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6">
        <w:r>
          <w:rPr>
            <w:rFonts w:ascii="Microsoft YaHei" w:hAnsi="Microsoft YaHei" w:eastAsia="微软雅黑"/>
            <w:color w:val="1769AA"/>
            <w:sz w:val="17.0"/>
            <w:u w:val="single"/>
          </w:rPr>
          <w:t>[12] 客户需求资料</w:t>
        </w:r>
      </w:hyperlink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03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方案 A｜零开发费 + 30% 收入分成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以长期收益替代一次性开发工资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008C9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381"/>
            <w:shd w:fill="008C9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商务条件</w:t>
            </w:r>
          </w:p>
        </w:tc>
        <w:tc>
          <w:tcPr>
            <w:tcW w:type="dxa" w:w="4819"/>
            <w:shd w:fill="008C9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 / 参考依据</w:t>
            </w:r>
          </w:p>
        </w:tc>
      </w:tr>
      <w:tr>
        <w:trPr>
          <w:cantSplit w:val="true"/>
        </w:trPr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开发费用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2"/>
              </w:rPr>
              <w:t>¥0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不收取开发工资，以分成覆盖开发投入；范围参考 [1][2]</w:t>
            </w:r>
          </w:p>
        </w:tc>
      </w:tr>
      <w:tr>
        <w:trPr>
          <w:cantSplit w:val="true"/>
        </w:trPr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日常维护费用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2"/>
              </w:rPr>
              <w:t>¥0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分红期间，原 MVP 范围内维护不另收费；维护范围参考 [4][5]</w:t>
            </w:r>
          </w:p>
        </w:tc>
      </w:tr>
      <w:tr>
        <w:trPr>
          <w:cantSplit w:val="true"/>
        </w:trPr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收入分成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2"/>
              </w:rPr>
              <w:t>30%</w:t>
            </w:r>
          </w:p>
        </w:tc>
        <w:tc>
          <w:tcPr>
            <w:tcW w:type="dxa" w:w="3289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按下述“可分成收入”每月结算；合同条款参考 [3]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实际成本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2"/>
              </w:rPr>
              <w:t>客户承担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硬件、API、GPU、服务器、CDN、证书、法务等，参考 [6]-[10]</w:t>
            </w:r>
          </w:p>
        </w:tc>
      </w:tr>
    </w:tbl>
    <w:p>
      <w:pPr>
        <w:spacing w:before="160" w:after="100" w:line="300" w:lineRule="auto"/>
      </w:pPr>
      <w:r>
        <w:rPr>
          <w:rFonts w:ascii="微软雅黑" w:hAnsi="微软雅黑" w:eastAsia="微软雅黑"/>
          <w:b/>
          <w:color w:val="13233A"/>
          <w:sz w:val="24"/>
        </w:rPr>
        <w:t>分成口径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可分成收入 = 客户实际到账金额 − 退款 − 税费 − 支付渠道手续费。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API、GPU、服务器、CDN、硬件等成本由客户承担，不从我方 30% 分成中再次扣除。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每月结算；客户提供订单、支付后台和云账单查看权。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原 MVP 范围内的 Bug 修复、模型/API 小版本适配和安装包更新不另收费。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新增独立业务模块或重大范围变更，由双方另行书面确认。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5"/>
            <w:tcMar>
              <w:top w:w="100" w:type="dxa"/>
              <w:start w:w="220" w:type="dxa"/>
              <w:bottom w:w="100" w:type="dxa"/>
              <w:end w:w="220" w:type="dxa"/>
            </w:tcMar>
            <w:tcBorders>
              <w:top w:val="single" w:sz="3" w:color="D9E0E7"/>
              <w:left w:val="single" w:sz="20" w:color="C8962E"/>
              <w:bottom w:val="single" w:sz="3" w:color="D9E0E7"/>
              <w:right w:val="single" w:sz="3" w:color="D9E0E7"/>
            </w:tcBorders>
          </w:tcPr>
          <w:p>
            <w:r>
              <w:rPr>
                <w:rFonts w:ascii="微软雅黑" w:hAnsi="微软雅黑" w:eastAsia="微软雅黑"/>
                <w:b/>
                <w:color w:val="C8962E"/>
                <w:sz w:val="21"/>
              </w:rPr>
              <w:t>合同保护建议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13233A"/>
                <w:sz w:val="20"/>
              </w:rPr>
              <w:t>分成协议应明确：收入定义、结算日期、查账/审计权、知识产权、客户停运或转让时的处理、逾期支付以及重大新增需求的边界。</w:t>
            </w:r>
          </w:p>
        </w:tc>
      </w:tr>
    </w:tbl>
    <w:p>
      <w:pPr>
        <w:spacing w:after="0"/>
      </w:pPr>
    </w:p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1">
        <w:r>
          <w:rPr>
            <w:rFonts w:ascii="Microsoft YaHei" w:hAnsi="Microsoft YaHei" w:eastAsia="微软雅黑"/>
            <w:color w:val="1769AA"/>
            <w:sz w:val="17.0"/>
            <w:u w:val="single"/>
          </w:rPr>
          <w:t>[1] MVP 工作量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2">
        <w:r>
          <w:rPr>
            <w:rFonts w:ascii="Microsoft YaHei" w:hAnsi="Microsoft YaHei" w:eastAsia="微软雅黑"/>
            <w:color w:val="1769AA"/>
            <w:sz w:val="17.0"/>
            <w:u w:val="single"/>
          </w:rPr>
          <w:t>[2] MVP 验收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3">
        <w:r>
          <w:rPr>
            <w:rFonts w:ascii="Microsoft YaHei" w:hAnsi="Microsoft YaHei" w:eastAsia="微软雅黑"/>
            <w:color w:val="1769AA"/>
            <w:sz w:val="17.0"/>
            <w:u w:val="single"/>
          </w:rPr>
          <w:t>[3] 分红协议参考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7">
        <w:r>
          <w:rPr>
            <w:rFonts w:ascii="Microsoft YaHei" w:hAnsi="Microsoft YaHei" w:eastAsia="微软雅黑"/>
            <w:color w:val="1769AA"/>
            <w:sz w:val="17.0"/>
            <w:u w:val="single"/>
          </w:rPr>
          <w:t>[4] 可维护性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8">
        <w:r>
          <w:rPr>
            <w:rFonts w:ascii="Microsoft YaHei" w:hAnsi="Microsoft YaHei" w:eastAsia="微软雅黑"/>
            <w:color w:val="1769AA"/>
            <w:sz w:val="17.0"/>
            <w:u w:val="single"/>
          </w:rPr>
          <w:t>[5] 风险与应对</w:t>
        </w:r>
      </w:hyperlink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04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方案 B｜固定全栈开发费 + 月度维护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不参与客户后续收入分成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69A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381"/>
            <w:shd w:fill="1769A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报价</w:t>
            </w:r>
          </w:p>
        </w:tc>
        <w:tc>
          <w:tcPr>
            <w:tcW w:type="dxa" w:w="4819"/>
            <w:shd w:fill="1769A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 / 参考依据</w:t>
            </w:r>
          </w:p>
        </w:tc>
      </w:tr>
      <w:tr>
        <w:trPr>
          <w:cantSplit w:val="true"/>
        </w:trPr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全栈软件开发</w:t>
            </w:r>
          </w:p>
        </w:tc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2"/>
              </w:rPr>
              <w:t>¥200,000</w:t>
            </w:r>
          </w:p>
        </w:tc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我方根据 [1] 的 18-29 个工作日和 [2] 的完整验收范围估算</w:t>
            </w:r>
          </w:p>
        </w:tc>
      </w:tr>
      <w:tr>
        <w:trPr>
          <w:cantSplit w:val="true"/>
        </w:trPr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月度维护</w:t>
            </w:r>
          </w:p>
        </w:tc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2"/>
              </w:rPr>
              <w:t>¥10,000 / 月</w:t>
            </w:r>
          </w:p>
        </w:tc>
        <w:tc>
          <w:tcPr>
            <w:tcW w:type="dxa" w:w="3289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覆盖 [4][5] 所列持续适配、修复和版本维护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收入分成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2"/>
              </w:rPr>
              <w:t>0%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客户支付固定开发费后，我方不参与产品收入分成</w:t>
            </w:r>
          </w:p>
        </w:tc>
      </w:tr>
      <w:tr>
        <w:trPr>
          <w:cantSplit w:val="true"/>
        </w:trPr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实际成本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2"/>
              </w:rPr>
              <w:t>客户承担</w:t>
            </w:r>
          </w:p>
        </w:tc>
        <w:tc>
          <w:tcPr>
            <w:tcW w:type="dxa" w:w="3289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硬件、API、GPU、服务器、CDN、证书、法务等，参考 [6]-[10]</w:t>
            </w:r>
          </w:p>
        </w:tc>
      </w:tr>
    </w:tbl>
    <w:p>
      <w:pPr>
        <w:spacing w:before="160" w:after="100" w:line="300" w:lineRule="auto"/>
      </w:pPr>
      <w:r>
        <w:rPr>
          <w:rFonts w:ascii="微软雅黑" w:hAnsi="微软雅黑" w:eastAsia="微软雅黑"/>
          <w:b/>
          <w:color w:val="13233A"/>
          <w:sz w:val="24"/>
        </w:rPr>
        <w:t>付款与维护建议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40% 启动款：合同签署并确认需求后支付。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40% 阶段款：文案、语音、对口型、字幕和导出主链路完成后支付。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20% 尾款：MVP 按验收清单完成交付后支付。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验收后提供 30 日缺陷保障；其后按 ¥10,000 / 月进入维护。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维护包含 Bug 修复、小版本适配、安装包更新和远程排查；新增大功能单独报价。</w:t>
      </w:r>
    </w:p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1">
        <w:r>
          <w:rPr>
            <w:rFonts w:ascii="Microsoft YaHei" w:hAnsi="Microsoft YaHei" w:eastAsia="微软雅黑"/>
            <w:color w:val="1769AA"/>
            <w:sz w:val="17.0"/>
            <w:u w:val="single"/>
          </w:rPr>
          <w:t>[1] MVP 工作量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2">
        <w:r>
          <w:rPr>
            <w:rFonts w:ascii="Microsoft YaHei" w:hAnsi="Microsoft YaHei" w:eastAsia="微软雅黑"/>
            <w:color w:val="1769AA"/>
            <w:sz w:val="17.0"/>
            <w:u w:val="single"/>
          </w:rPr>
          <w:t>[2] MVP 验收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7">
        <w:r>
          <w:rPr>
            <w:rFonts w:ascii="Microsoft YaHei" w:hAnsi="Microsoft YaHei" w:eastAsia="微软雅黑"/>
            <w:color w:val="1769AA"/>
            <w:sz w:val="17.0"/>
            <w:u w:val="single"/>
          </w:rPr>
          <w:t>[4] 可维护性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8">
        <w:r>
          <w:rPr>
            <w:rFonts w:ascii="Microsoft YaHei" w:hAnsi="Microsoft YaHei" w:eastAsia="微软雅黑"/>
            <w:color w:val="1769AA"/>
            <w:sz w:val="17.0"/>
            <w:u w:val="single"/>
          </w:rPr>
          <w:t>[5] 风险与应对</w:t>
        </w:r>
      </w:hyperlink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05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客户承担的实际成本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两种合作方式下均为客户预算，不包含在开发/分成条件内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94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成本项目</w:t>
            </w:r>
          </w:p>
        </w:tc>
        <w:tc>
          <w:tcPr>
            <w:tcW w:type="dxa" w:w="1928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参考金额</w:t>
            </w:r>
          </w:p>
        </w:tc>
        <w:tc>
          <w:tcPr>
            <w:tcW w:type="dxa" w:w="3288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871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已有 RTX 4090 的 MVP 外部支出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¥3,000-20,000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API、证书、SSD、可选云 GPU 等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[6]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没有开发硬件的 MVP 外部支出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¥60,000-120,000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4090 主机、普通显卡测试机、SSD 等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[6]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RTX 4090 工作站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¥30,000-45,000 / 台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本地高质量数字人推理和测试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[7]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LLM API｜1,000 条视频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¥20-1,500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低成本至中档模型；高端模型另计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[8]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模型文件存储 / CDN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¥100-2,000 / 月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取决于模型包大小和下载量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[9]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Windows 代码签名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¥1,500-6,000 / 年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商业发布建议购买，减少系统拦截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[9]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Apple Developer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约 ¥700-800 / 年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macOS 签名和公证需要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[9]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参考内测版云端对口型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17"/>
              </w:rPr>
              <w:t>约 ¥0.5 / 次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仅用于参考；实际按所选供应商账单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7"/>
              </w:rPr>
              <w:t>[10]</w:t>
            </w:r>
          </w:p>
        </w:tc>
      </w:tr>
    </w:tbl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9">
        <w:r>
          <w:rPr>
            <w:rFonts w:ascii="Microsoft YaHei" w:hAnsi="Microsoft YaHei" w:eastAsia="微软雅黑"/>
            <w:color w:val="1769AA"/>
            <w:sz w:val="17.0"/>
            <w:u w:val="single"/>
          </w:rPr>
          <w:t>[6] 直接成本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20">
        <w:r>
          <w:rPr>
            <w:rFonts w:ascii="Microsoft YaHei" w:hAnsi="Microsoft YaHei" w:eastAsia="微软雅黑"/>
            <w:color w:val="1769AA"/>
            <w:sz w:val="17.0"/>
            <w:u w:val="single"/>
          </w:rPr>
          <w:t>[7] 硬件成本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21">
        <w:r>
          <w:rPr>
            <w:rFonts w:ascii="Microsoft YaHei" w:hAnsi="Microsoft YaHei" w:eastAsia="微软雅黑"/>
            <w:color w:val="1769AA"/>
            <w:sz w:val="17.0"/>
            <w:u w:val="single"/>
          </w:rPr>
          <w:t>[8] LLM API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22">
        <w:r>
          <w:rPr>
            <w:rFonts w:ascii="Microsoft YaHei" w:hAnsi="Microsoft YaHei" w:eastAsia="微软雅黑"/>
            <w:color w:val="1769AA"/>
            <w:sz w:val="17.0"/>
            <w:u w:val="single"/>
          </w:rPr>
          <w:t>[9] 签名与分发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4">
        <w:r>
          <w:rPr>
            <w:rFonts w:ascii="Microsoft YaHei" w:hAnsi="Microsoft YaHei" w:eastAsia="微软雅黑"/>
            <w:color w:val="1769AA"/>
            <w:sz w:val="17.0"/>
            <w:u w:val="single"/>
          </w:rPr>
          <w:t>[10] 参考产品资料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A"/>
            <w:tcMar>
              <w:top w:w="100" w:type="dxa"/>
              <w:start w:w="220" w:type="dxa"/>
              <w:bottom w:w="100" w:type="dxa"/>
              <w:end w:w="220" w:type="dxa"/>
            </w:tcMar>
            <w:tcBorders>
              <w:top w:val="single" w:sz="3" w:color="D9E0E7"/>
              <w:left w:val="single" w:sz="20" w:color="1769AA"/>
              <w:bottom w:val="single" w:sz="3" w:color="D9E0E7"/>
              <w:right w:val="single" w:sz="3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769AA"/>
                <w:sz w:val="21"/>
              </w:rPr>
              <w:t>顶级开源数字人模型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13233A"/>
                <w:sz w:val="20"/>
              </w:rPr>
              <w:t>MVP 建议优先选择 RTX 4090 24GB 能运行的模型链路。HunyuanVideo-Avatar 等高质量方案官方推荐约 96GB 显存，应作为后续高配/私有化版本单独评估服务器和许可成本。</w:t>
            </w:r>
          </w:p>
        </w:tc>
      </w:tr>
    </w:tbl>
    <w:p>
      <w:pPr>
        <w:spacing w:after="0"/>
      </w:pPr>
    </w:p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23">
        <w:r>
          <w:rPr>
            <w:rFonts w:ascii="Microsoft YaHei" w:hAnsi="Microsoft YaHei" w:eastAsia="微软雅黑"/>
            <w:color w:val="1769AA"/>
            <w:sz w:val="17.0"/>
            <w:u w:val="single"/>
          </w:rPr>
          <w:t>[13] HunyuanVideo-Avatar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24">
        <w:r>
          <w:rPr>
            <w:rFonts w:ascii="Microsoft YaHei" w:hAnsi="Microsoft YaHei" w:eastAsia="微软雅黑"/>
            <w:color w:val="1769AA"/>
            <w:sz w:val="17.0"/>
            <w:u w:val="single"/>
          </w:rPr>
          <w:t>[14] LatentSync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25">
        <w:r>
          <w:rPr>
            <w:rFonts w:ascii="Microsoft YaHei" w:hAnsi="Microsoft YaHei" w:eastAsia="微软雅黑"/>
            <w:color w:val="1769AA"/>
            <w:sz w:val="17.0"/>
            <w:u w:val="single"/>
          </w:rPr>
          <w:t>[15] MuseTalk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06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实施计划与验收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最终周期取决于模型选择、硬件到位和需求冻结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04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参考工期</w:t>
            </w:r>
          </w:p>
        </w:tc>
        <w:tc>
          <w:tcPr>
            <w:tcW w:type="dxa" w:w="4139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核心工作</w:t>
            </w:r>
          </w:p>
        </w:tc>
        <w:tc>
          <w:tcPr>
            <w:tcW w:type="dxa" w:w="2268"/>
            <w:shd w:fill="1323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阶段成果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阶段 0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3-5 天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模型、FFmpeg、硬件和许可证技术验证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技术验证报告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阶段 1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3-5 天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桌面壳、本地运行时、项目与任务框架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可启动基础版本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阶段 2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3-5 天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文案、LLM API、ASR 和文本流程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文案链路</w:t>
            </w:r>
          </w:p>
        </w:tc>
      </w:tr>
      <w:tr>
        <w:trPr>
          <w:cantSplit w:val="true"/>
        </w:trPr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阶段 3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5-8 天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TTS / 声音克隆、对口型和任务控制</w:t>
            </w:r>
          </w:p>
        </w:tc>
        <w:tc>
          <w:tcPr>
            <w:tcW w:type="dxa" w:w="2466"/>
            <w:shd w:fill="F4F6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核心生成链路</w:t>
            </w:r>
          </w:p>
        </w:tc>
      </w:tr>
      <w:tr>
        <w:trPr>
          <w:cantSplit w:val="true"/>
        </w:trPr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阶段 4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3233A"/>
                <w:sz w:val="18"/>
              </w:rPr>
              <w:t>4-6 天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字幕、封面、导出、质检和打包</w:t>
            </w:r>
          </w:p>
        </w:tc>
        <w:tc>
          <w:tcPr>
            <w:tcW w:type="dxa" w:w="24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3" w:color="D9E0E7"/>
              <w:bottom w:val="single" w:sz="3" w:color="D9E0E7"/>
              <w:right w:val="single" w:sz="3" w:color="D9E0E7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3233A"/>
                <w:sz w:val="18"/>
              </w:rPr>
              <w:t>MVP 安装包</w:t>
            </w:r>
          </w:p>
        </w:tc>
      </w:tr>
    </w:tbl>
    <w:p>
      <w:pPr>
        <w:spacing w:before="160" w:after="100" w:line="300" w:lineRule="auto"/>
      </w:pPr>
      <w:r>
        <w:rPr>
          <w:rFonts w:ascii="微软雅黑" w:hAnsi="微软雅黑" w:eastAsia="微软雅黑"/>
          <w:b/>
          <w:color w:val="13233A"/>
          <w:sz w:val="24"/>
        </w:rPr>
        <w:t>MVP 核心验收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用户安装后可完成设备体检，缺失模型可校验和修复。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可输入主题或导入视频生成/提取文案，链接失败时可通过本地 ASR 兜底。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授权音频可转码并用于声音克隆；30 秒人物视频可完成本地对口型。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任务展示真实阶段并支持失败重试；应用重启后可看到历史任务和中间产物。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字幕可编辑且预览与导出一致；封面可使用视频帧并编辑文字。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MP4 可在电脑和手机正常播放，无黑屏、倒放、明显发灰和音画不同步。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b w:val="0"/>
          <w:color w:val="13233A"/>
          <w:sz w:val="20"/>
        </w:rPr>
        <w:t>API Key 不以明文出现在日志中。</w:t>
      </w:r>
    </w:p>
    <w:p>
      <w:pPr>
        <w:spacing w:before="40" w:after="120" w:line="264" w:lineRule="auto"/>
      </w:pPr>
      <w:r>
        <w:rPr>
          <w:rFonts w:ascii="微软雅黑" w:hAnsi="微软雅黑" w:eastAsia="微软雅黑"/>
          <w:b/>
          <w:color w:val="435166"/>
          <w:sz w:val="17"/>
        </w:rPr>
        <w:t>参考依据：</w:t>
      </w:r>
      <w:hyperlink r:id="rId11">
        <w:r>
          <w:rPr>
            <w:rFonts w:ascii="Microsoft YaHei" w:hAnsi="Microsoft YaHei" w:eastAsia="微软雅黑"/>
            <w:color w:val="1769AA"/>
            <w:sz w:val="17.0"/>
            <w:u w:val="single"/>
          </w:rPr>
          <w:t>[1] 开发阶段</w:t>
        </w:r>
      </w:hyperlink>
      <w:r>
        <w:rPr>
          <w:rFonts w:ascii="微软雅黑" w:hAnsi="微软雅黑" w:eastAsia="微软雅黑"/>
          <w:b w:val="0"/>
          <w:color w:val="435166"/>
          <w:sz w:val="17"/>
        </w:rPr>
        <w:t>；</w:t>
      </w:r>
      <w:hyperlink r:id="rId12">
        <w:r>
          <w:rPr>
            <w:rFonts w:ascii="Microsoft YaHei" w:hAnsi="Microsoft YaHei" w:eastAsia="微软雅黑"/>
            <w:color w:val="1769AA"/>
            <w:sz w:val="17.0"/>
            <w:u w:val="single"/>
          </w:rPr>
          <w:t>[2] MVP 总验收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07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边界、前提与商务说明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用于避免实际成本、重大新增需求和验收口径混淆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654"/>
      </w:tblGrid>
      <w:tr>
        <w:trPr>
          <w:cantSplit w:val="true"/>
        </w:trPr>
        <w:tc>
          <w:tcPr>
            <w:tcW w:type="dxa" w:w="1928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包含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MVP 范围内的软件开发、安装打包、基础技术文档和约定验收。</w:t>
            </w:r>
          </w:p>
        </w:tc>
      </w:tr>
      <w:tr>
        <w:trPr>
          <w:cantSplit w:val="true"/>
        </w:trPr>
        <w:tc>
          <w:tcPr>
            <w:tcW w:type="dxa" w:w="1928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客户提供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合法授权的声音/肖像/视频素材；API 账户；测试硬件；业务规则；合规要求。</w:t>
            </w:r>
          </w:p>
        </w:tc>
      </w:tr>
      <w:tr>
        <w:trPr>
          <w:cantSplit w:val="true"/>
        </w:trPr>
        <w:tc>
          <w:tcPr>
            <w:tcW w:type="dxa" w:w="1928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客户承担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硬件采购、云资源、API、CDN、证书、法务、上架和第三方服务账单。</w:t>
            </w:r>
          </w:p>
        </w:tc>
      </w:tr>
      <w:tr>
        <w:trPr>
          <w:cantSplit w:val="true"/>
        </w:trPr>
        <w:tc>
          <w:tcPr>
            <w:tcW w:type="dxa" w:w="1928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不包含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团队后台、多机 GPU 调度、完整剪辑时间线、自动发布、模型市场及未约定的大功能。</w:t>
            </w:r>
          </w:p>
        </w:tc>
      </w:tr>
      <w:tr>
        <w:trPr>
          <w:cantSplit w:val="true"/>
        </w:trPr>
        <w:tc>
          <w:tcPr>
            <w:tcW w:type="dxa" w:w="1928"/>
            <w:shd w:fill="EAF3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合规要求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声音克隆和肖像生成必须取得授权；商业发布前需核查模型代码与权重许可证。</w:t>
            </w:r>
          </w:p>
        </w:tc>
      </w:tr>
      <w:tr>
        <w:trPr>
          <w:cantSplit w:val="true"/>
        </w:trPr>
        <w:tc>
          <w:tcPr>
            <w:tcW w:type="dxa" w:w="1928"/>
            <w:shd w:fill="E7F6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3233A"/>
                <w:sz w:val="19"/>
              </w:rPr>
              <w:t>报价调整</w:t>
            </w:r>
          </w:p>
        </w:tc>
        <w:tc>
          <w:tcPr>
            <w:tcW w:type="dxa" w:w="7654"/>
            <w:shd w:fill="FFFF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3233A"/>
                <w:sz w:val="19"/>
              </w:rPr>
              <w:t>需求范围、首发平台、模型路线或硬件目标发生重大变化时，双方重新确认周期和报价。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5"/>
            <w:tcMar>
              <w:top w:w="100" w:type="dxa"/>
              <w:start w:w="220" w:type="dxa"/>
              <w:bottom w:w="100" w:type="dxa"/>
              <w:end w:w="220" w:type="dxa"/>
            </w:tcMar>
            <w:tcBorders>
              <w:top w:val="single" w:sz="3" w:color="D9E0E7"/>
              <w:left w:val="single" w:sz="20" w:color="C8962E"/>
              <w:bottom w:val="single" w:sz="3" w:color="D9E0E7"/>
              <w:right w:val="single" w:sz="3" w:color="D9E0E7"/>
            </w:tcBorders>
          </w:tcPr>
          <w:p>
            <w:r>
              <w:rPr>
                <w:rFonts w:ascii="微软雅黑" w:hAnsi="微软雅黑" w:eastAsia="微软雅黑"/>
                <w:b/>
                <w:color w:val="C8962E"/>
                <w:sz w:val="21"/>
              </w:rPr>
              <w:t>方案确认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13233A"/>
                <w:sz w:val="20"/>
              </w:rPr>
              <w:t>本文件用于客户商务沟通。最终项目范围、知识产权、验收方式、分成口径、结算周期、违约责任和数据合规要求，以双方签署的正式合同及附件为准。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2"/>
        <w:gridCol w:w="9241"/>
      </w:tblGrid>
      <w:tr>
        <w:tc>
          <w:tcPr>
            <w:tcW w:type="dxa" w:w="4933"/>
            <w:shd w:fill="1769A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08</w:t>
            </w:r>
          </w:p>
        </w:tc>
        <w:tc>
          <w:tcPr>
            <w:tcW w:type="dxa" w:w="4933"/>
            <w:shd w:fill="EAF3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bottom w:val="single" w:sz="8" w:color="1769AA"/>
            </w:tcBorders>
            <w:vAlign w:val="center"/>
          </w:tcPr>
          <w:p>
            <w:r>
              <w:rPr>
                <w:rFonts w:ascii="微软雅黑" w:hAnsi="微软雅黑" w:eastAsia="微软雅黑"/>
                <w:b/>
                <w:color w:val="13233A"/>
                <w:sz w:val="30"/>
              </w:rPr>
              <w:t>参考资料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435166"/>
                <w:sz w:val="17"/>
              </w:rPr>
              <w:t>报价、范围与成本均可追溯至以下公开或项目文档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1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[1] 开发 PRD：阶段 0-4、工期与交付物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2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[2] 开发 PRD：MVP 总验收清单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3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[3] Revenue-share agreement clauses：收入定义、结算与审计权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7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[4] 产品 PRD：可维护性要求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8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[5] 产品 PRD：主要风险与应对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9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[6] 直接成本评估：MVP 外部支出结论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0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[7] 直接成本评估：硬件预算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1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[8] 直接成本评估：LLM API 用量与价格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2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[9] 直接成本评估：签名证书、存储与 CDN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4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[10] 参考产品资料拆解与公开问题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5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[11] 免费超级 IP 智能体操作文档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16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[12] 客户需求参考文档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3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[13] HunyuanVideo-Avatar 官方硬件要求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4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[14] LatentSync 官方推理与显存要求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bottom w:val="single" w:sz="3" w:color="D9E0E7"/>
            </w:tcBorders>
          </w:tcPr>
          <w:p>
            <w:hyperlink r:id="rId25">
              <w:r>
                <w:rPr>
                  <w:rFonts w:ascii="Microsoft YaHei" w:hAnsi="Microsoft YaHei" w:eastAsia="微软雅黑"/>
                  <w:color w:val="1769AA"/>
                  <w:sz w:val="18.4"/>
                  <w:u w:val="single"/>
                </w:rPr>
                <w:t>[15] MuseTalk 官方项目与许可说明</w:t>
              </w:r>
            </w:hyperlink>
          </w:p>
        </w:tc>
      </w:tr>
    </w:tbl>
    <w:p>
      <w:pPr>
        <w:spacing w:before="280" w:after="80" w:line="300" w:lineRule="auto"/>
        <w:jc w:val="center"/>
      </w:pPr>
      <w:r>
        <w:rPr>
          <w:rFonts w:ascii="微软雅黑" w:hAnsi="微软雅黑" w:eastAsia="微软雅黑"/>
          <w:b/>
          <w:color w:val="435166"/>
          <w:sz w:val="20"/>
        </w:rPr>
        <w:t>— 文档结束 —</w:t>
      </w:r>
    </w:p>
    <w:p>
      <w:pPr>
        <w:jc w:val="center"/>
      </w:pPr>
      <w:r>
        <w:rPr>
          <w:rFonts w:ascii="微软雅黑" w:hAnsi="微软雅黑" w:eastAsia="微软雅黑"/>
          <w:b w:val="0"/>
          <w:color w:val="435166"/>
          <w:sz w:val="20"/>
        </w:rPr>
        <w:t>感谢审阅，期待进一步确认合作模式与项目范围。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微软雅黑" w:hAnsi="微软雅黑" w:eastAsia="微软雅黑"/>
        <w:b w:val="0"/>
        <w:color w:val="435166"/>
        <w:sz w:val="16"/>
      </w:rPr>
      <w:t>商业沟通资料｜未经双方书面确认不构成最终合同</w:t>
    </w:r>
  </w:p>
  <w:p>
    <w:pPr>
      <w:jc w:val="right"/>
    </w:pPr>
    <w:r>
      <w:rPr>
        <w:rFonts w:ascii="微软雅黑" w:hAnsi="微软雅黑" w:eastAsia="微软雅黑"/>
        <w:color w:val="43516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351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769AA"/>
      </w:pBdr>
    </w:pPr>
    <w:r>
      <w:rPr>
        <w:rFonts w:ascii="微软雅黑" w:hAnsi="微软雅黑" w:eastAsia="微软雅黑"/>
        <w:b/>
        <w:color w:val="435166"/>
        <w:sz w:val="16"/>
      </w:rPr>
      <w:t>超级 IP 智能体项目开发与合作方案  |  客户版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color w:val="13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ihao555-hub/human/blob/b5d50c5277dad7d42ba4c534989decaa013943d7/docs/developer-prd.md#L867-L926" TargetMode="External"/><Relationship Id="rId12" Type="http://schemas.openxmlformats.org/officeDocument/2006/relationships/hyperlink" Target="https://github.com/nihao555-hub/human/blob/b5d50c5277dad7d42ba4c534989decaa013943d7/docs/developer-prd.md#L941-L967" TargetMode="External"/><Relationship Id="rId13" Type="http://schemas.openxmlformats.org/officeDocument/2006/relationships/hyperlink" Target="https://www.sprintlaw.com/articles/revenue-share-agreement-clauses-risks-and-review-points-for-us-businesses/" TargetMode="External"/><Relationship Id="rId14" Type="http://schemas.openxmlformats.org/officeDocument/2006/relationships/hyperlink" Target="https://github.com/nihao555-hub/human/blob/b5d50c5277dad7d42ba4c534989decaa013943d7/docs/source-research.md#L42-L73" TargetMode="External"/><Relationship Id="rId15" Type="http://schemas.openxmlformats.org/officeDocument/2006/relationships/hyperlink" Target="https://5x-class.feishu.cn/wiki/SEbcwBFO0iS98ekvBwHc0KTzndf" TargetMode="External"/><Relationship Id="rId16" Type="http://schemas.openxmlformats.org/officeDocument/2006/relationships/hyperlink" Target="https://xa8k8qzrnlp.feishu.cn/docx/JlAOdfKjfogpkExyXYxcofJ0nBb" TargetMode="External"/><Relationship Id="rId17" Type="http://schemas.openxmlformats.org/officeDocument/2006/relationships/hyperlink" Target="https://github.com/nihao555-hub/human/blob/b5d50c5277dad7d42ba4c534989decaa013943d7/docs/prd-human-ip-studio.md#L271-L277" TargetMode="External"/><Relationship Id="rId18" Type="http://schemas.openxmlformats.org/officeDocument/2006/relationships/hyperlink" Target="https://github.com/nihao555-hub/human/blob/b5d50c5277dad7d42ba4c534989decaa013943d7/docs/prd-human-ip-studio.md#L370-L379" TargetMode="External"/><Relationship Id="rId19" Type="http://schemas.openxmlformats.org/officeDocument/2006/relationships/hyperlink" Target="https://github.com/nihao555-hub/human/blob/b5d50c5277dad7d42ba4c534989decaa013943d7/docs/development-cost-estimate.md#L25-L49" TargetMode="External"/><Relationship Id="rId20" Type="http://schemas.openxmlformats.org/officeDocument/2006/relationships/hyperlink" Target="https://github.com/nihao555-hub/human/blob/b5d50c5277dad7d42ba4c534989decaa013943d7/docs/development-cost-estimate.md#L51-L75" TargetMode="External"/><Relationship Id="rId21" Type="http://schemas.openxmlformats.org/officeDocument/2006/relationships/hyperlink" Target="https://github.com/nihao555-hub/human/blob/b5d50c5277dad7d42ba4c534989decaa013943d7/docs/development-cost-estimate.md#L90-L124" TargetMode="External"/><Relationship Id="rId22" Type="http://schemas.openxmlformats.org/officeDocument/2006/relationships/hyperlink" Target="https://github.com/nihao555-hub/human/blob/b5d50c5277dad7d42ba4c534989decaa013943d7/docs/development-cost-estimate.md#L144-L166" TargetMode="External"/><Relationship Id="rId23" Type="http://schemas.openxmlformats.org/officeDocument/2006/relationships/hyperlink" Target="https://github.com/Tencent-Hunyuan/HunyuanVideo-Avatar#-requirements" TargetMode="External"/><Relationship Id="rId24" Type="http://schemas.openxmlformats.org/officeDocument/2006/relationships/hyperlink" Target="https://github.com/bytedance/LatentSync#inference" TargetMode="External"/><Relationship Id="rId25" Type="http://schemas.openxmlformats.org/officeDocument/2006/relationships/hyperlink" Target="https://github.com/TMElyralab/MuseTa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超级IP智能体项目开发与合作方案</dc:title>
  <dc:subject>客户版商务方案</dc:subject>
  <dc:creator>项目团队</dc:creator>
  <cp:keywords>超级IP, AI口播, 数字人, MVP, 合作方案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