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Random Forest vs. KNN — Bioactivity Classification Performance Across Parkinson's-Disease-Related Targets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Test-set performance for Random Forest and K-Nearest Neighbours classifiers, reported per target. Values are reproduced exactly as computed in the source notebook (random_forest.ipynb).</w:t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1367"/>
        <w:gridCol w:w="1196"/>
        <w:gridCol w:w="1196"/>
        <w:gridCol w:w="1367"/>
        <w:gridCol w:w="1367"/>
        <w:gridCol w:w="1196"/>
        <w:gridCol w:w="1196"/>
        <w:gridCol w:w="1196"/>
        <w:gridCol w:w="1196"/>
        <w:gridCol w:w="2051"/>
      </w:tblGrid>
      <w:tr>
        <w:trPr>
          <w:tblHeader/>
        </w:trPr>
        <w:tc>
          <w:tcPr>
            <w:tcW w:type="dxa" w:w="1709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367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67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 /</w:t>
            </w:r>
            <w:r>
              <w:rPr>
                <w:b/>
                <w:bCs/>
                <w:color w:val="FFFFFF"/>
                <w:sz w:val="19"/>
                <w:szCs w:val="19"/>
              </w:rPr>
              <w:br/>
              <w:t xml:space="preserve">Sensitivity</w:t>
            </w:r>
          </w:p>
        </w:tc>
        <w:tc>
          <w:tcPr>
            <w:tcW w:type="dxa" w:w="1367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Specificity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PR-AUC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MCC</w:t>
            </w:r>
          </w:p>
        </w:tc>
        <w:tc>
          <w:tcPr>
            <w:tcW w:type="dxa" w:w="2051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Confusion Matrix</w:t>
            </w:r>
            <w:r>
              <w:rPr>
                <w:b/>
                <w:bCs/>
                <w:color w:val="FFFFFF"/>
                <w:sz w:val="19"/>
                <w:szCs w:val="19"/>
              </w:rPr>
              <w:br/>
              <w:t xml:space="preserve">(TN, FP, FN, TP)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MAO-B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0.8406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0.8102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0.8621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0.8217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0.8353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0.9237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0.9143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0.6825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567, 123, 84, 525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MAO-B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0.8260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0.7880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0.8604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0.7957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0.8226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0.8978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0.8516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0.6550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549, 141, 85, 524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LRRK2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0.9485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0.9760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0.9691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0.6136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0.9726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0.9593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0.9974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0.5542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27, 17, 22, 691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LRRK2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0.9511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0.9592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0.9902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0.3182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0.9745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0.8463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0.9824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0.4393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14, 30, 7, 706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A2A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0.8925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0.9508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0.9280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0.5862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0.9393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0.9254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0.9913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0.4738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17, 12, 18, 232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A2A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0.8889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0.9228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0.9560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0.3103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0.9391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0.8131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0.9634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0.3151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9, 20, 11, 239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COMT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0.7931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0.9333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0.7368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0.8235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0.8947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0.9454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0.6058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9, 1, 5, 14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COMT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0.7931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0.8095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0.8947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0.8684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0.9269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0.5261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6, 4, 2, 17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GBA1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0.7984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0.6757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0.6410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0.8667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0.6579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0.8070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0.7051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0.5155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78, 12, 14, 25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GBA1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0.7597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0.6111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0.5641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0.8444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0.5867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0.7449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0.5387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0.4183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76, 14, 17, 22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DRD1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0.7708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0.6667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0.7778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0.7667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0.7179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0.8120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0.6995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0.5313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23, 7, 4, 14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DRD1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0.6458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0.5200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0.7222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0.6047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0.7870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0.6475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0.3123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18, 12, 5, 13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GLP1R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0.8736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0.9532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0.9017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0.6538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0.9268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0.9072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0.9876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0.4788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34, 18, 40, 367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GLP1R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0.8932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0.9303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0.9509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0.4423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0.9405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0.7808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0.9490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0.4277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23, 29, 20, 387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PINK1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1, 0, 0, 1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PINK1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1, 0, 0, 1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α-Synuclein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0.8131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0.9074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0.7656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0.8837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0.8305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0.8892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0.9391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0.6367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38, 5, 15, 49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α-Synuclein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0.7664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0.8095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0.7969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0.7209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0.8031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0.8423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0.8913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0.5159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31, 12, 13, 51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Muscarinic</w:t>
            </w:r>
            <w:r>
              <w:rPr>
                <w:b/>
                <w:bCs/>
                <w:sz w:val="21"/>
                <w:szCs w:val="21"/>
              </w:rPr>
              <w:br/>
              <w:t xml:space="preserve">Receptor (M5)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0.8311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0.8428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0.8375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0.8239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0.8401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0.9071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0.9114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0.6612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117, 25, 26, 134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Muscarinic</w:t>
            </w:r>
            <w:r>
              <w:rPr>
                <w:b/>
                <w:bCs/>
                <w:sz w:val="21"/>
                <w:szCs w:val="21"/>
              </w:rPr>
              <w:br/>
              <w:t xml:space="preserve">Receptor (M5)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0.8344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0.8395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0.8169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0.8447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0.8859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0.8692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0.6675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116, 26, 24, 136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VMAT2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0.8000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0.8750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0.8750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0.5000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0.8750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0.9236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0.9818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0.3750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3, 3, 3, 21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VMAT2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0.9000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0.8889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0.5000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0.9412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0.8715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0.9457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0.6667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3, 3, 0, 24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SLC6A3 / DAT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0.8755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0.9201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0.8835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0.8610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0.9014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0.9366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0.9601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0.7337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322, 52, 79, 599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SLC6A3 / DAT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0.8441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0.8610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0.9041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0.7353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0.8820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0.9041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0.9260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0.6544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275, 99, 65, 613</w:t>
            </w:r>
          </w:p>
        </w:tc>
      </w:tr>
    </w:tbl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2026-08-19T09:25:49.205Z</dcterms:created>
  <dcterms:modified xsi:type="dcterms:W3CDTF">2026-08-19T09:25:49.217Z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