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HSBC</w:t>
      </w:r>
    </w:p>
    <w:p>
      <w:r>
        <w:rPr>
          <w:b/>
        </w:rPr>
        <w:t>Synthetic Internal Investment Committee Note</w:t>
      </w:r>
    </w:p>
    <w:p>
      <w:r>
        <w:t>Ticker: HSBA | Sector: Global Banks | Currency: GBP</w:t>
      </w:r>
    </w:p>
    <w:p>
      <w:r>
        <w:t>SYNTHETIC DATASET — FOR AI PROTOTYPE TESTING ONLY.</w:t>
      </w:r>
    </w:p>
    <w:p>
      <w:pPr>
        <w:pStyle w:val="Heading1"/>
      </w:pPr>
      <w:r>
        <w:t>1. Investment Context</w:t>
      </w:r>
    </w:p>
    <w:p>
      <w:r>
        <w:t>This synthetic investment note evaluates HSBC using market data, fundamental metrics and historical investment events. The purpose is to test whether an AI research agent can connect structured and unstructured evidence.</w:t>
      </w:r>
    </w:p>
    <w:p>
      <w:pPr>
        <w:pStyle w:val="Heading1"/>
      </w:pPr>
      <w:r>
        <w:t>2. Key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Latest Value</w:t>
            </w:r>
          </w:p>
        </w:tc>
      </w:tr>
      <w:tr>
        <w:tc>
          <w:tcPr>
            <w:tcW w:type="dxa" w:w="4320"/>
          </w:tcPr>
          <w:p>
            <w:r>
              <w:t>NIM</w:t>
            </w:r>
          </w:p>
        </w:tc>
        <w:tc>
          <w:tcPr>
            <w:tcW w:type="dxa" w:w="4320"/>
          </w:tcPr>
          <w:p>
            <w:r>
              <w:t>1.64%</w:t>
            </w:r>
          </w:p>
        </w:tc>
      </w:tr>
      <w:tr>
        <w:tc>
          <w:tcPr>
            <w:tcW w:type="dxa" w:w="4320"/>
          </w:tcPr>
          <w:p>
            <w:r>
              <w:t>ROE</w:t>
            </w:r>
          </w:p>
        </w:tc>
        <w:tc>
          <w:tcPr>
            <w:tcW w:type="dxa" w:w="4320"/>
          </w:tcPr>
          <w:p>
            <w:r>
              <w:t>11.40%</w:t>
            </w:r>
          </w:p>
        </w:tc>
      </w:tr>
      <w:tr>
        <w:tc>
          <w:tcPr>
            <w:tcW w:type="dxa" w:w="4320"/>
          </w:tcPr>
          <w:p>
            <w:r>
              <w:t>CET1</w:t>
            </w:r>
          </w:p>
        </w:tc>
        <w:tc>
          <w:tcPr>
            <w:tcW w:type="dxa" w:w="4320"/>
          </w:tcPr>
          <w:p>
            <w:r>
              <w:t>14.64%</w:t>
            </w:r>
          </w:p>
        </w:tc>
      </w:tr>
      <w:tr>
        <w:tc>
          <w:tcPr>
            <w:tcW w:type="dxa" w:w="4320"/>
          </w:tcPr>
          <w:p>
            <w:r>
              <w:t>NPL</w:t>
            </w:r>
          </w:p>
        </w:tc>
        <w:tc>
          <w:tcPr>
            <w:tcW w:type="dxa" w:w="4320"/>
          </w:tcPr>
          <w:p>
            <w:r>
              <w:t>2.04%</w:t>
            </w:r>
          </w:p>
        </w:tc>
      </w:tr>
      <w:tr>
        <w:tc>
          <w:tcPr>
            <w:tcW w:type="dxa" w:w="4320"/>
          </w:tcPr>
          <w:p>
            <w:r>
              <w:t>P/E</w:t>
            </w:r>
          </w:p>
        </w:tc>
        <w:tc>
          <w:tcPr>
            <w:tcW w:type="dxa" w:w="4320"/>
          </w:tcPr>
          <w:p>
            <w:r>
              <w:t>9.81x</w:t>
            </w:r>
          </w:p>
        </w:tc>
      </w:tr>
      <w:tr>
        <w:tc>
          <w:tcPr>
            <w:tcW w:type="dxa" w:w="4320"/>
          </w:tcPr>
          <w:p>
            <w:r>
              <w:t>P/B</w:t>
            </w:r>
          </w:p>
        </w:tc>
        <w:tc>
          <w:tcPr>
            <w:tcW w:type="dxa" w:w="4320"/>
          </w:tcPr>
          <w:p>
            <w:r>
              <w:t>1.23x</w:t>
            </w:r>
          </w:p>
        </w:tc>
      </w:tr>
    </w:tbl>
    <w:p>
      <w:pPr>
        <w:pStyle w:val="Heading1"/>
      </w:pPr>
      <w:r>
        <w:t>3. Price Performance</w:t>
      </w:r>
    </w:p>
    <w:p>
      <w:r>
        <w:drawing>
          <wp:inline xmlns:a="http://schemas.openxmlformats.org/drawingml/2006/main" xmlns:pic="http://schemas.openxmlformats.org/drawingml/2006/picture">
            <wp:extent cx="5669280" cy="2721254"/>
            <wp:docPr id="1" name="Picture 1"/>
            <wp:cNvGraphicFramePr>
              <a:graphicFrameLocks noChangeAspect="1"/>
            </wp:cNvGraphicFramePr>
            <a:graphic>
              <a:graphicData uri="http://schemas.openxmlformats.org/drawingml/2006/picture">
                <pic:pic>
                  <pic:nvPicPr>
                    <pic:cNvPr id="0" name="HSBA_price_history.png"/>
                    <pic:cNvPicPr/>
                  </pic:nvPicPr>
                  <pic:blipFill>
                    <a:blip r:embed="rId9"/>
                    <a:stretch>
                      <a:fillRect/>
                    </a:stretch>
                  </pic:blipFill>
                  <pic:spPr>
                    <a:xfrm>
                      <a:off x="0" y="0"/>
                      <a:ext cx="5669280" cy="2721254"/>
                    </a:xfrm>
                    <a:prstGeom prst="rect"/>
                  </pic:spPr>
                </pic:pic>
              </a:graphicData>
            </a:graphic>
          </wp:inline>
        </w:drawing>
      </w:r>
    </w:p>
    <w:p>
      <w:r>
        <w:t>Figure 1. Synthetic share-price history. Source: market.db / daily_prices.</w:t>
      </w:r>
    </w:p>
    <w:p>
      <w:pPr>
        <w:pStyle w:val="Heading1"/>
      </w:pPr>
      <w:r>
        <w:t>4. Fundamental Trend</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HSBA_nim_roe.png"/>
                    <pic:cNvPicPr/>
                  </pic:nvPicPr>
                  <pic:blipFill>
                    <a:blip r:embed="rId10"/>
                    <a:stretch>
                      <a:fillRect/>
                    </a:stretch>
                  </pic:blipFill>
                  <pic:spPr>
                    <a:xfrm>
                      <a:off x="0" y="0"/>
                      <a:ext cx="5669280" cy="2834640"/>
                    </a:xfrm>
                    <a:prstGeom prst="rect"/>
                  </pic:spPr>
                </pic:pic>
              </a:graphicData>
            </a:graphic>
          </wp:inline>
        </w:drawing>
      </w:r>
    </w:p>
    <w:p>
      <w:r>
        <w:t>Figure 2. Synthetic NIM and ROE trend. Source: market.db / fundamentals.</w:t>
      </w:r>
    </w:p>
    <w:p>
      <w:pPr>
        <w:pStyle w:val="Heading1"/>
      </w:pPr>
      <w:r>
        <w:t>5. Event Analysis</w:t>
      </w:r>
    </w:p>
    <w:p>
      <w:r>
        <w:t>The following events are deliberately aligned with market-price shocks and will later appear in other document formats.</w:t>
      </w:r>
    </w:p>
    <w:tbl>
      <w:tblPr>
        <w:tblStyle w:val="TableGrid"/>
        <w:tblW w:type="auto" w:w="0"/>
        <w:tblLook w:firstColumn="1" w:firstRow="1" w:lastColumn="0" w:lastRow="0" w:noHBand="0" w:noVBand="1" w:val="04A0"/>
      </w:tblPr>
      <w:tblGrid>
        <w:gridCol w:w="2880"/>
        <w:gridCol w:w="2880"/>
        <w:gridCol w:w="2880"/>
      </w:tblGrid>
      <w:tr>
        <w:tc>
          <w:tcPr>
            <w:tcW w:type="dxa" w:w="2880"/>
          </w:tcPr>
          <w:p>
            <w:r>
              <w:t>Event ID</w:t>
            </w:r>
          </w:p>
        </w:tc>
        <w:tc>
          <w:tcPr>
            <w:tcW w:type="dxa" w:w="2880"/>
          </w:tcPr>
          <w:p>
            <w:r>
              <w:t>Date</w:t>
            </w:r>
          </w:p>
        </w:tc>
        <w:tc>
          <w:tcPr>
            <w:tcW w:type="dxa" w:w="2880"/>
          </w:tcPr>
          <w:p>
            <w:r>
              <w:t>Description</w:t>
            </w:r>
          </w:p>
        </w:tc>
      </w:tr>
    </w:tbl>
    <w:p>
      <w:pPr>
        <w:pStyle w:val="Heading1"/>
      </w:pPr>
      <w:r>
        <w:t>6. Analyst Questions</w:t>
      </w:r>
    </w:p>
    <w:p>
      <w:pPr>
        <w:pStyle w:val="ListBullet"/>
      </w:pPr>
      <w:r>
        <w:t>Was the market reaction justified by the earnings trajectory?</w:t>
      </w:r>
    </w:p>
    <w:p>
      <w:pPr>
        <w:pStyle w:val="ListBullet"/>
      </w:pPr>
      <w:r>
        <w:t>Did valuation change materially around the event?</w:t>
      </w:r>
    </w:p>
    <w:p>
      <w:pPr>
        <w:pStyle w:val="ListBullet"/>
      </w:pPr>
      <w:r>
        <w:t>Did volume confirm unusual investor activity?</w:t>
      </w:r>
    </w:p>
    <w:p>
      <w:pPr>
        <w:pStyle w:val="ListBullet"/>
      </w:pPr>
      <w:r>
        <w:t>How does the company compare with its sector peers?</w:t>
      </w:r>
    </w:p>
    <w:p>
      <w:pPr>
        <w:pStyle w:val="ListBullet"/>
      </w:pPr>
      <w:r>
        <w:t>What additional evidence should the research agent retrieve?</w:t>
      </w:r>
    </w:p>
    <w:p>
      <w:pPr>
        <w:pStyle w:val="Heading1"/>
      </w:pPr>
      <w:r>
        <w:t>7. Provenance</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Location</w:t>
            </w:r>
          </w:p>
        </w:tc>
      </w:tr>
      <w:tr>
        <w:tc>
          <w:tcPr>
            <w:tcW w:type="dxa" w:w="4320"/>
          </w:tcPr>
          <w:p>
            <w:r>
              <w:t>Prices</w:t>
            </w:r>
          </w:p>
        </w:tc>
        <w:tc>
          <w:tcPr>
            <w:tcW w:type="dxa" w:w="4320"/>
          </w:tcPr>
          <w:p>
            <w:r>
              <w:t>market.db / daily_prices</w:t>
            </w:r>
          </w:p>
        </w:tc>
      </w:tr>
      <w:tr>
        <w:tc>
          <w:tcPr>
            <w:tcW w:type="dxa" w:w="4320"/>
          </w:tcPr>
          <w:p>
            <w:r>
              <w:t>Volume</w:t>
            </w:r>
          </w:p>
        </w:tc>
        <w:tc>
          <w:tcPr>
            <w:tcW w:type="dxa" w:w="4320"/>
          </w:tcPr>
          <w:p>
            <w:r>
              <w:t>market.db / daily_volume</w:t>
            </w:r>
          </w:p>
        </w:tc>
      </w:tr>
      <w:tr>
        <w:tc>
          <w:tcPr>
            <w:tcW w:type="dxa" w:w="4320"/>
          </w:tcPr>
          <w:p>
            <w:r>
              <w:t>Fundamentals</w:t>
            </w:r>
          </w:p>
        </w:tc>
        <w:tc>
          <w:tcPr>
            <w:tcW w:type="dxa" w:w="4320"/>
          </w:tcPr>
          <w:p>
            <w:r>
              <w:t>market.db / fundamentals</w:t>
            </w:r>
          </w:p>
        </w:tc>
      </w:tr>
      <w:tr>
        <w:tc>
          <w:tcPr>
            <w:tcW w:type="dxa" w:w="4320"/>
          </w:tcPr>
          <w:p>
            <w:r>
              <w:t>Events</w:t>
            </w:r>
          </w:p>
        </w:tc>
        <w:tc>
          <w:tcPr>
            <w:tcW w:type="dxa" w:w="4320"/>
          </w:tcPr>
          <w:p>
            <w:r>
              <w:t>data/reference/events.json</w:t>
            </w:r>
          </w:p>
        </w:tc>
      </w:tr>
      <w:tr>
        <w:tc>
          <w:tcPr>
            <w:tcW w:type="dxa" w:w="4320"/>
          </w:tcPr>
          <w:p>
            <w:r>
              <w:t>Dataset status</w:t>
            </w:r>
          </w:p>
        </w:tc>
        <w:tc>
          <w:tcPr>
            <w:tcW w:type="dxa" w:w="4320"/>
          </w:tcPr>
          <w:p>
            <w:r>
              <w:t>Synthetic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