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Singapore Banks</w:t>
      </w:r>
    </w:p>
    <w:p>
      <w:r>
        <w:t>Synthetic Sector Investment Committee Note</w:t>
      </w:r>
    </w:p>
    <w:p>
      <w:r>
        <w:t>DBS Group | OCBC | UOB</w:t>
      </w:r>
    </w:p>
    <w:p>
      <w:r>
        <w:t>SYNTHETIC DATASET — FOR AI PROTOTYPE TESTING ONLY.</w:t>
      </w:r>
    </w:p>
    <w:p>
      <w:pPr>
        <w:pStyle w:val="Heading1"/>
      </w:pPr>
      <w:r>
        <w:t>1. Sector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Company</w:t>
            </w:r>
          </w:p>
        </w:tc>
        <w:tc>
          <w:tcPr>
            <w:tcW w:type="dxa" w:w="1234"/>
          </w:tcPr>
          <w:p>
            <w:r>
              <w:t>NIM</w:t>
            </w:r>
          </w:p>
        </w:tc>
        <w:tc>
          <w:tcPr>
            <w:tcW w:type="dxa" w:w="1234"/>
          </w:tcPr>
          <w:p>
            <w:r>
              <w:t>ROE</w:t>
            </w:r>
          </w:p>
        </w:tc>
        <w:tc>
          <w:tcPr>
            <w:tcW w:type="dxa" w:w="1234"/>
          </w:tcPr>
          <w:p>
            <w:r>
              <w:t>CET1</w:t>
            </w:r>
          </w:p>
        </w:tc>
        <w:tc>
          <w:tcPr>
            <w:tcW w:type="dxa" w:w="1234"/>
          </w:tcPr>
          <w:p>
            <w:r>
              <w:t>NPL</w:t>
            </w:r>
          </w:p>
        </w:tc>
        <w:tc>
          <w:tcPr>
            <w:tcW w:type="dxa" w:w="1234"/>
          </w:tcPr>
          <w:p>
            <w:r>
              <w:t>P/E</w:t>
            </w:r>
          </w:p>
        </w:tc>
        <w:tc>
          <w:tcPr>
            <w:tcW w:type="dxa" w:w="1234"/>
          </w:tcPr>
          <w:p>
            <w:r>
              <w:t>P/B</w:t>
            </w:r>
          </w:p>
        </w:tc>
      </w:tr>
      <w:tr>
        <w:tc>
          <w:tcPr>
            <w:tcW w:type="dxa" w:w="1234"/>
          </w:tcPr>
          <w:p>
            <w:r>
              <w:t>DBS Group</w:t>
            </w:r>
          </w:p>
        </w:tc>
        <w:tc>
          <w:tcPr>
            <w:tcW w:type="dxa" w:w="1234"/>
          </w:tcPr>
          <w:p>
            <w:r>
              <w:t>2.23%</w:t>
            </w:r>
          </w:p>
        </w:tc>
        <w:tc>
          <w:tcPr>
            <w:tcW w:type="dxa" w:w="1234"/>
          </w:tcPr>
          <w:p>
            <w:r>
              <w:t>14.34%</w:t>
            </w:r>
          </w:p>
        </w:tc>
        <w:tc>
          <w:tcPr>
            <w:tcW w:type="dxa" w:w="1234"/>
          </w:tcPr>
          <w:p>
            <w:r>
              <w:t>17.17%</w:t>
            </w:r>
          </w:p>
        </w:tc>
        <w:tc>
          <w:tcPr>
            <w:tcW w:type="dxa" w:w="1234"/>
          </w:tcPr>
          <w:p>
            <w:r>
              <w:t>1.10%</w:t>
            </w:r>
          </w:p>
        </w:tc>
        <w:tc>
          <w:tcPr>
            <w:tcW w:type="dxa" w:w="1234"/>
          </w:tcPr>
          <w:p>
            <w:r>
              <w:t>10.42x</w:t>
            </w:r>
          </w:p>
        </w:tc>
        <w:tc>
          <w:tcPr>
            <w:tcW w:type="dxa" w:w="1234"/>
          </w:tcPr>
          <w:p>
            <w:r>
              <w:t>1.34x</w:t>
            </w:r>
          </w:p>
        </w:tc>
      </w:tr>
      <w:tr>
        <w:tc>
          <w:tcPr>
            <w:tcW w:type="dxa" w:w="1234"/>
          </w:tcPr>
          <w:p>
            <w:r>
              <w:t>OCBC</w:t>
            </w:r>
          </w:p>
        </w:tc>
        <w:tc>
          <w:tcPr>
            <w:tcW w:type="dxa" w:w="1234"/>
          </w:tcPr>
          <w:p>
            <w:r>
              <w:t>2.17%</w:t>
            </w:r>
          </w:p>
        </w:tc>
        <w:tc>
          <w:tcPr>
            <w:tcW w:type="dxa" w:w="1234"/>
          </w:tcPr>
          <w:p>
            <w:r>
              <w:t>12.78%</w:t>
            </w:r>
          </w:p>
        </w:tc>
        <w:tc>
          <w:tcPr>
            <w:tcW w:type="dxa" w:w="1234"/>
          </w:tcPr>
          <w:p>
            <w:r>
              <w:t>15.64%</w:t>
            </w:r>
          </w:p>
        </w:tc>
        <w:tc>
          <w:tcPr>
            <w:tcW w:type="dxa" w:w="1234"/>
          </w:tcPr>
          <w:p>
            <w:r>
              <w:t>1.17%</w:t>
            </w:r>
          </w:p>
        </w:tc>
        <w:tc>
          <w:tcPr>
            <w:tcW w:type="dxa" w:w="1234"/>
          </w:tcPr>
          <w:p>
            <w:r>
              <w:t>9.56x</w:t>
            </w:r>
          </w:p>
        </w:tc>
        <w:tc>
          <w:tcPr>
            <w:tcW w:type="dxa" w:w="1234"/>
          </w:tcPr>
          <w:p>
            <w:r>
              <w:t>1.39x</w:t>
            </w:r>
          </w:p>
        </w:tc>
      </w:tr>
      <w:tr>
        <w:tc>
          <w:tcPr>
            <w:tcW w:type="dxa" w:w="1234"/>
          </w:tcPr>
          <w:p>
            <w:r>
              <w:t>UOB</w:t>
            </w:r>
          </w:p>
        </w:tc>
        <w:tc>
          <w:tcPr>
            <w:tcW w:type="dxa" w:w="1234"/>
          </w:tcPr>
          <w:p>
            <w:r>
              <w:t>2.02%</w:t>
            </w:r>
          </w:p>
        </w:tc>
        <w:tc>
          <w:tcPr>
            <w:tcW w:type="dxa" w:w="1234"/>
          </w:tcPr>
          <w:p>
            <w:r>
              <w:t>12.23%</w:t>
            </w:r>
          </w:p>
        </w:tc>
        <w:tc>
          <w:tcPr>
            <w:tcW w:type="dxa" w:w="1234"/>
          </w:tcPr>
          <w:p>
            <w:r>
              <w:t>16.11%</w:t>
            </w:r>
          </w:p>
        </w:tc>
        <w:tc>
          <w:tcPr>
            <w:tcW w:type="dxa" w:w="1234"/>
          </w:tcPr>
          <w:p>
            <w:r>
              <w:t>1.30%</w:t>
            </w:r>
          </w:p>
        </w:tc>
        <w:tc>
          <w:tcPr>
            <w:tcW w:type="dxa" w:w="1234"/>
          </w:tcPr>
          <w:p>
            <w:r>
              <w:t>9.64x</w:t>
            </w:r>
          </w:p>
        </w:tc>
        <w:tc>
          <w:tcPr>
            <w:tcW w:type="dxa" w:w="1234"/>
          </w:tcPr>
          <w:p>
            <w:r>
              <w:t>1.15x</w:t>
            </w:r>
          </w:p>
        </w:tc>
      </w:tr>
    </w:tbl>
    <w:p>
      <w:pPr>
        <w:pStyle w:val="Heading1"/>
      </w:pPr>
      <w:r>
        <w:t>2. Relative Performance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apore_bank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Synthetic 12-month share-price comparison.</w:t>
      </w:r>
    </w:p>
    <w:p>
      <w:pPr>
        <w:pStyle w:val="Heading1"/>
      </w:pPr>
      <w:r>
        <w:t>3. Research Framework</w:t>
      </w:r>
    </w:p>
    <w:p>
      <w:pPr>
        <w:pStyle w:val="ListBullet"/>
      </w:pPr>
      <w:r>
        <w:t>Profitability versus valuation</w:t>
      </w:r>
    </w:p>
    <w:p>
      <w:pPr>
        <w:pStyle w:val="ListBullet"/>
      </w:pPr>
      <w:r>
        <w:t>Capital strength versus growth</w:t>
      </w:r>
    </w:p>
    <w:p>
      <w:pPr>
        <w:pStyle w:val="ListBullet"/>
      </w:pPr>
      <w:r>
        <w:t>Credit quality versus returns</w:t>
      </w:r>
    </w:p>
    <w:p>
      <w:pPr>
        <w:pStyle w:val="ListBullet"/>
      </w:pPr>
      <w:r>
        <w:t>Event-driven share-price reaction</w:t>
      </w:r>
    </w:p>
    <w:p>
      <w:pPr>
        <w:pStyle w:val="ListBullet"/>
      </w:pPr>
      <w:r>
        <w:t>Sector versus company-specific effects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