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en-US"/>
        </w:rPr>
        <w:pict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>
        <w:trPr>
          <w:trHeight w:val="346"/>
        </w:trPr>
        <w:tc>
          <w:tcPr>
            <w:tcW w:w="4204" w:type="dxa"/>
          </w:tcPr>
          <w:p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>
        <w:trPr>
          <w:trHeight w:val="346"/>
        </w:trPr>
        <w:tc>
          <w:tcPr>
            <w:tcW w:w="4204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>
        <w:trPr>
          <w:trHeight w:val="1900"/>
        </w:trPr>
        <w:tc>
          <w:tcPr>
            <w:tcW w:w="1384" w:type="dxa"/>
          </w:tcPr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lastRenderedPageBreak/>
              <w:t>Preparation of Quarterly Results</w:t>
            </w:r>
          </w:p>
          <w:p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US" w:eastAsia="en-US"/>
        </w:rPr>
        <w:pict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>
        <w:trPr>
          <w:trHeight w:val="306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en-US"/>
        </w:rPr>
        <w:pict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lastRenderedPageBreak/>
        <w:pict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6102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9E6" w:rsidRDefault="008F29E6">
      <w:r>
        <w:separator/>
      </w:r>
    </w:p>
  </w:endnote>
  <w:endnote w:type="continuationSeparator" w:id="0">
    <w:p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9E6" w:rsidRDefault="008F29E6">
      <w:r>
        <w:separator/>
      </w:r>
    </w:p>
  </w:footnote>
  <w:footnote w:type="continuationSeparator" w:id="0">
    <w:p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95712">
    <w:abstractNumId w:val="3"/>
  </w:num>
  <w:num w:numId="2" w16cid:durableId="1307779823">
    <w:abstractNumId w:val="0"/>
  </w:num>
  <w:num w:numId="3" w16cid:durableId="1594392108">
    <w:abstractNumId w:val="2"/>
  </w:num>
  <w:num w:numId="4" w16cid:durableId="103746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102EC"/>
    <w:rsid w:val="00667A8E"/>
    <w:rsid w:val="008F29E6"/>
    <w:rsid w:val="009B7BB6"/>
    <w:rsid w:val="00BF71C5"/>
    <w:rsid w:val="00C1653D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438143-2D77-45B9-8D97-7C0120E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val="en-IN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Niharika Kuchhal</cp:lastModifiedBy>
  <cp:revision>2</cp:revision>
  <cp:lastPrinted>2017-11-23T15:21:00Z</cp:lastPrinted>
  <dcterms:created xsi:type="dcterms:W3CDTF">2024-04-13T21:26:00Z</dcterms:created>
  <dcterms:modified xsi:type="dcterms:W3CDTF">2024-04-13T21:26:00Z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