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Times New Roman" w:cs="Times New Roman" w:eastAsia="Times New Roman" w:hAnsi="Times New Roman"/>
          <w:b/>
          <w:bCs/>
          <w:sz w:val="30"/>
          <w:szCs w:val="30"/>
        </w:rPr>
        <w:t xml:space="preserve">3. LITERATURE SURVEY AND RESEARCH GAP</w:t>
      </w:r>
    </w:p>
    <w:p>
      <w:pPr>
        <w:pStyle w:val="Heading2"/>
        <w:spacing w:after="160" w:before="260"/>
      </w:pPr>
      <w:r>
        <w:rPr>
          <w:rFonts w:ascii="Times New Roman" w:cs="Times New Roman" w:eastAsia="Times New Roman" w:hAnsi="Times New Roman"/>
          <w:b/>
          <w:bCs/>
          <w:sz w:val="24"/>
          <w:szCs w:val="24"/>
        </w:rPr>
        <w:t xml:space="preserve">3.1 Introduction to DNN Reliability Research</w:t>
      </w:r>
    </w:p>
    <w:p>
      <w:pPr>
        <w:spacing w:after="200" w:line="360"/>
        <w:jc w:val="both"/>
      </w:pPr>
      <w:r>
        <w:rPr>
          <w:rFonts w:ascii="Times New Roman" w:cs="Times New Roman" w:eastAsia="Times New Roman" w:hAnsi="Times New Roman"/>
          <w:sz w:val="22"/>
          <w:szCs w:val="22"/>
        </w:rPr>
        <w:t xml:space="preserve">Research on the reliability of Deep Neural Networks (DNNs) under hardware-induced faults has expanded considerably over the period 2024–2026, driven by the growing deployment of convolutional and transformer-based models in safety-critical, embedded, and edge-computing environments. To ground the present work in current, verifiable evidence, a quality-controlled literature review was carried out covering only papers published in 2024, 2025, or 2026 in reputable, Scopus-indexed venues, including IEEE Xplore, the ACM Digital Library, Elsevier, Nature/Springer, and MDPI journals, as well as recognised peer-reviewed conferences such as DATE, DSN, ISSRE, IOLTS, GLSVLSI, DCIS, and EIEI-ACOFI.</w:t>
      </w:r>
    </w:p>
    <w:p>
      <w:pPr>
        <w:spacing w:after="200" w:line="360"/>
        <w:jc w:val="both"/>
      </w:pPr>
      <w:r>
        <w:rPr>
          <w:rFonts w:ascii="Times New Roman" w:cs="Times New Roman" w:eastAsia="Times New Roman" w:hAnsi="Times New Roman"/>
          <w:sz w:val="22"/>
          <w:szCs w:val="22"/>
        </w:rPr>
        <w:t xml:space="preserve">Candidate sources were located through a systematic search and screening process. Of an initial pool of sixty candidate papers, twenty-one were excluded for predating 2024, nine were excluded for not appearing in an IEEE/Scopus-indexed or otherwise reputable venue, and fifteen were excluded as off-topic, covering purely adversarial machine-learning security, generic cybersecurity vulnerability reports, or hardware-reliability studies unrelated to DNNs. This screening yielded fifteen shortlisted papers that were individually and fully extracted for problem addressed, methodology, key findings, novelty, limitations, and relevance to the present project. Of these fifteen studies, eight were published in 2024 and seven in 2025; nine appeared in journals and six in conference proceedings, spanning ACM, IEEE, Elsevier, MDPI, and Nature/Springer publishers.</w:t>
      </w:r>
    </w:p>
    <w:p>
      <w:pPr>
        <w:spacing w:after="200" w:line="360"/>
        <w:jc w:val="both"/>
      </w:pPr>
      <w:r>
        <w:rPr>
          <w:rFonts w:ascii="Times New Roman" w:cs="Times New Roman" w:eastAsia="Times New Roman" w:hAnsi="Times New Roman"/>
          <w:sz w:val="22"/>
          <w:szCs w:val="22"/>
        </w:rPr>
        <w:t xml:space="preserve">The remainder of this section is organised around the four pillars that define the VulnShield-DNN problem space — efficient vulnerability discovery, cross-layer interaction modelling, budget-aware selective protection, and edge deployability — and proceeds from foundational fault-injection techniques (Section 3.2) through vulnerability assessment (3.3), reinforcement-learning-based detection (3.4), fault-aware protection strategies (3.5), cross-layer analysis (3.6), the overlap with adversarial sensitivity (3.7), a comparative synthesis of existing approaches (3.8), the resulting research gap (3.9), and the novelty and contributions of the proposed work (3.10).</w:t>
      </w:r>
    </w:p>
    <w:p>
      <w:pPr>
        <w:pStyle w:val="Heading2"/>
        <w:spacing w:after="160" w:before="260"/>
      </w:pPr>
      <w:r>
        <w:rPr>
          <w:rFonts w:ascii="Times New Roman" w:cs="Times New Roman" w:eastAsia="Times New Roman" w:hAnsi="Times New Roman"/>
          <w:b/>
          <w:bCs/>
          <w:sz w:val="24"/>
          <w:szCs w:val="24"/>
        </w:rPr>
        <w:t xml:space="preserve">3.2 Software-Based Fault Injection Techniques</w:t>
      </w:r>
    </w:p>
    <w:p>
      <w:pPr>
        <w:spacing w:after="200" w:line="360"/>
        <w:jc w:val="both"/>
      </w:pPr>
      <w:r>
        <w:rPr>
          <w:rFonts w:ascii="Times New Roman" w:cs="Times New Roman" w:eastAsia="Times New Roman" w:hAnsi="Times New Roman"/>
          <w:sz w:val="22"/>
          <w:szCs w:val="22"/>
        </w:rPr>
        <w:t xml:space="preserve">Software-based fault injection remains the dominant methodology for studying DNN reliability without requiring physical radiation or hardware fault-injection facilities. Ahmadilivani et al. present a systematic literature review, in ACM Computing Surveys, that surveys and taxonomises existing hardware-reliability assessment methods for DNNs across more than one hundred prior studies, covering fault models, injection granularities (weight, neuron, and layer level), and assessment metrics. Their review confirms that vulnerability is non-uniformly distributed across layers and channels and finds that most prior work assesses components independently, without modelling cross-layer or cross-component interaction, and that fault-injection-only methods do not scale well to large modern DNNs.</w:t>
      </w:r>
    </w:p>
    <w:p>
      <w:pPr>
        <w:spacing w:after="200" w:line="360"/>
        <w:jc w:val="both"/>
      </w:pPr>
      <w:r>
        <w:rPr>
          <w:rFonts w:ascii="Times New Roman" w:cs="Times New Roman" w:eastAsia="Times New Roman" w:hAnsi="Times New Roman"/>
          <w:sz w:val="22"/>
          <w:szCs w:val="22"/>
        </w:rPr>
        <w:t xml:space="preserve">A complementary survey by Yu, Tan, and Huang, also in ACM Computing Surveys, classifies fault-injection tools by fidelity, cost, and scope, distinguishing software simulators from RTL and hardware emulators. The survey finds that software-level injection is inexpensive but tends to under-estimate real hardware effects, whereas RTL or hardware-level injection is more accurate but computationally prohibitive for full-network sweeps — reinforcing the need for smarter, targeted sampling of injection sites rather than exhaustive sweeps.</w:t>
      </w:r>
    </w:p>
    <w:p>
      <w:pPr>
        <w:spacing w:after="200" w:line="360"/>
        <w:jc w:val="both"/>
      </w:pPr>
      <w:r>
        <w:rPr>
          <w:rFonts w:ascii="Times New Roman" w:cs="Times New Roman" w:eastAsia="Times New Roman" w:hAnsi="Times New Roman"/>
          <w:sz w:val="22"/>
          <w:szCs w:val="22"/>
        </w:rPr>
        <w:t xml:space="preserve">Empirical fault-injection studies extend this picture to specific tasks and hardware contexts. Gutiérrez-Zaballa, Basterretxea, and Echanobe conduct an extensive layer-wise and bit-position fault-injection campaign on embedded semantic-segmentation networks relevant to autonomous driving, published in the Journal of Systems Architecture, and find that vulnerability is highly concentrated in a small number of layers and feature maps near the decoder and skip connections, while most convolutional channels tolerate faults with negligible effect. Taheri et al., presented at DATE 2024, investigate activation-fault reliability in quantized systolic-array-based DNN accelerators and report that quantization changes the vulnerability landscape itself: some channels become more fault-sensitive owing to reduced numeric headroom, while others become more tolerant, and the specific set of critical channels shifts with bit-width. Mesa Mesa and Pérez Holguín, at EIEI-ACOFI 2025, independently replicate the finding that a small set of critical layers and parameters disproportionately affects the performance of hardware-implemented DNNs, adding a third, hardware-implementation-level confirmation of the phenomenon.</w:t>
      </w:r>
    </w:p>
    <w:p>
      <w:pPr>
        <w:pStyle w:val="Heading2"/>
        <w:spacing w:after="160" w:before="260"/>
      </w:pPr>
      <w:r>
        <w:rPr>
          <w:rFonts w:ascii="Times New Roman" w:cs="Times New Roman" w:eastAsia="Times New Roman" w:hAnsi="Times New Roman"/>
          <w:b/>
          <w:bCs/>
          <w:sz w:val="24"/>
          <w:szCs w:val="24"/>
        </w:rPr>
        <w:t xml:space="preserve">3.3 DNN Vulnerability Assessment Methods</w:t>
      </w:r>
    </w:p>
    <w:p>
      <w:pPr>
        <w:spacing w:after="200" w:line="360"/>
        <w:jc w:val="both"/>
      </w:pPr>
      <w:r>
        <w:rPr>
          <w:rFonts w:ascii="Times New Roman" w:cs="Times New Roman" w:eastAsia="Times New Roman" w:hAnsi="Times New Roman"/>
          <w:sz w:val="22"/>
          <w:szCs w:val="22"/>
        </w:rPr>
        <w:t xml:space="preserve">Beyond raw fault injection, several 2024–2025 studies propose explicit methods for scoring and ranking the vulnerability of internal DNN components. Ahmadilivani et al., in an IEEE IOLTS 2024 paper, compute a parameter-vulnerability score per filter or channel from a limited number of fault-injection trials and use this score to selectively duplicate only the most vulnerable output channels with a lightweight correction layer, combined with vulnerability-aware pruning of low-impact channels. Their results show that selectively duplicating the top-ranked vulnerable channels recovers most of the accuracy loss achievable through full-network hardening, at a fraction of the computational overhead, which is the closest prior work to the present project’s objective of converting vulnerability analysis directly into an actionable protection strategy.</w:t>
      </w:r>
    </w:p>
    <w:p>
      <w:pPr>
        <w:spacing w:after="200" w:line="360"/>
        <w:jc w:val="both"/>
      </w:pPr>
      <w:r>
        <w:rPr>
          <w:rFonts w:ascii="Times New Roman" w:cs="Times New Roman" w:eastAsia="Times New Roman" w:hAnsi="Times New Roman"/>
          <w:sz w:val="22"/>
          <w:szCs w:val="22"/>
        </w:rPr>
        <w:t xml:space="preserve">Ahsaei and Raji extend the vulnerability-ranking paradigm from convolutional networks to Vision Transformers in the Journal of Systems Architecture, performing a fine-grained sensitivity analysis across encoder layers, weight-matrix types, and attention-head dimensions, and finding that vulnerability in transformers is likewise concentrated in specific attention-head dimensions and weight-matrix types rather than being uniform across the transformer stack. This confirms that the central hypothesis motivating the present work — that a minority of internal components dominate reliability — generalises beyond convolutional architectures to newer transformer-based DNNs, although the ranking method itself remains architecture-specific rather than unified.</w:t>
      </w:r>
    </w:p>
    <w:p>
      <w:pPr>
        <w:pStyle w:val="Heading2"/>
        <w:spacing w:after="160" w:before="260"/>
      </w:pPr>
      <w:r>
        <w:rPr>
          <w:rFonts w:ascii="Times New Roman" w:cs="Times New Roman" w:eastAsia="Times New Roman" w:hAnsi="Times New Roman"/>
          <w:b/>
          <w:bCs/>
          <w:sz w:val="24"/>
          <w:szCs w:val="24"/>
        </w:rPr>
        <w:t xml:space="preserve">3.4 Reinforcement Learning for DNN Vulnerability Detection</w:t>
      </w:r>
    </w:p>
    <w:p>
      <w:pPr>
        <w:spacing w:after="200" w:line="360"/>
        <w:jc w:val="both"/>
      </w:pPr>
      <w:r>
        <w:rPr>
          <w:rFonts w:ascii="Times New Roman" w:cs="Times New Roman" w:eastAsia="Times New Roman" w:hAnsi="Times New Roman"/>
          <w:sz w:val="22"/>
          <w:szCs w:val="22"/>
        </w:rPr>
        <w:t xml:space="preserve">Reinforcement-learning-based search offers an adaptive alternative to fixed heuristics for locating fault-sensitive components. A 2025 study published in Sensors (MDPI) proposes a three-stage pipeline consisting of layer-wise resiliency profiling through fault-injection simulation, a reinforcement-learning agent that learns bit-protection masks per layer, and transfer learning that reuses learned policies across different DNN architectures. The RL-learned protection masks are reported to outperform fixed schemes such as Hamming-code and most-significant-bit protection at an equal protection budget, and the sensitivity pattern is found to be non-monotonic with network depth, with certain middle layers of ResNet-18 more vulnerable than either the earliest or the latest layers — evidence of architecture-specific, non-uniform criticality that a fixed heuristic cannot easily anticipate.</w:t>
      </w:r>
    </w:p>
    <w:p>
      <w:pPr>
        <w:spacing w:after="200" w:line="360"/>
        <w:jc w:val="both"/>
      </w:pPr>
      <w:r>
        <w:rPr>
          <w:rFonts w:ascii="Times New Roman" w:cs="Times New Roman" w:eastAsia="Times New Roman" w:hAnsi="Times New Roman"/>
          <w:sz w:val="22"/>
          <w:szCs w:val="22"/>
        </w:rPr>
        <w:t xml:space="preserve">This work establishes the feasibility of framing vulnerable-component discovery as a sequential decision problem solved through reinforcement learning and demonstrates that learned policies can transfer across architectures. However, it operates at bit and layer granularity through transfer-learning heuristics rather than an explicit cross-layer channel-interaction model, and the reinforcement-learning training itself carries a non-trivial computational cost that partially offsets the savings gained from avoiding exhaustive fault injection. This represents the most directly relevant precedent for the present project’s use of a Twin Delayed Deep Deterministic Policy Gradient (TD3) agent, and also motivates the project’s comparison of TD3 against a layer-wise Deep Deterministic Policy Gradient (DDPG) baseline to assess whether the added stability of TD3 over standard DDPG yields a measurable improvement in vulnerability-discovery efficiency.</w:t>
      </w:r>
    </w:p>
    <w:p>
      <w:pPr>
        <w:pStyle w:val="Heading2"/>
        <w:spacing w:after="160" w:before="260"/>
      </w:pPr>
      <w:r>
        <w:rPr>
          <w:rFonts w:ascii="Times New Roman" w:cs="Times New Roman" w:eastAsia="Times New Roman" w:hAnsi="Times New Roman"/>
          <w:b/>
          <w:bCs/>
          <w:sz w:val="24"/>
          <w:szCs w:val="24"/>
        </w:rPr>
        <w:t xml:space="preserve">3.5 Fault-Aware Training and DNN Protection</w:t>
      </w:r>
    </w:p>
    <w:p>
      <w:pPr>
        <w:spacing w:after="200" w:line="360"/>
        <w:jc w:val="both"/>
      </w:pPr>
      <w:r>
        <w:rPr>
          <w:rFonts w:ascii="Times New Roman" w:cs="Times New Roman" w:eastAsia="Times New Roman" w:hAnsi="Times New Roman"/>
          <w:sz w:val="22"/>
          <w:szCs w:val="22"/>
        </w:rPr>
        <w:t xml:space="preserve">A recurring theme across the shortlisted literature is the translation of vulnerability information into concrete, resource-efficient protection mechanisms, rather than treating vulnerability analysis as a purely diagnostic exercise. In addition to the selective duplication and pruning approach described in Section 3.3, Burel et al., in Microelectronics Reliability, propose lightweight checksum- and consistency-based fault-detection and masking layers inserted at selected points in a semantic-segmentation network, showing that placing detection and masking at a small number of strategically chosen layers or channels catches the majority of critical faults without requiring full-layer instrumentation.</w:t>
      </w:r>
    </w:p>
    <w:p>
      <w:pPr>
        <w:spacing w:after="200" w:line="360"/>
        <w:jc w:val="both"/>
      </w:pPr>
      <w:r>
        <w:rPr>
          <w:rFonts w:ascii="Times New Roman" w:cs="Times New Roman" w:eastAsia="Times New Roman" w:hAnsi="Times New Roman"/>
          <w:sz w:val="22"/>
          <w:szCs w:val="22"/>
        </w:rPr>
        <w:t xml:space="preserve">At the hardware-architecture level, Syed et al. describe, in IEEE Access, a reconfigurable fused-and-branched CNN accelerator for FPGAs that dynamically enables redundancy only on branches identified as reliability-critical, achieving reliability close to that of full-branch redundancy while substantially reducing reconfiguration and area overhead. Sun et al., at the ACM Great Lakes Symposium on VLSI 2025, propose Aphelios, a selective lock-step neural-processing-unit design that duplicates execution only for compute paths identified as high-criticality using a lightweight online criticality estimator, again recovering most of the reliability benefit of full lock-step execution while substantially cutting redundant computation and energy use. A 2025 Scientific Reports (Nature Portfolio) study applies a related selective, criticality-aware protection philosophy to distributed CNN inference across collaborating edge and IoT devices, using a lightweight “modifier” mechanism to compensate at runtime for faulty or disconnected nodes rather than replicating computation across all edge devices.</w:t>
      </w:r>
    </w:p>
    <w:p>
      <w:pPr>
        <w:spacing w:after="200" w:line="360"/>
        <w:jc w:val="both"/>
      </w:pPr>
      <w:r>
        <w:rPr>
          <w:rFonts w:ascii="Times New Roman" w:cs="Times New Roman" w:eastAsia="Times New Roman" w:hAnsi="Times New Roman"/>
          <w:sz w:val="22"/>
          <w:szCs w:val="22"/>
        </w:rPr>
        <w:t xml:space="preserve">Collectively, these studies (together with the RL-based bit-masking work reviewed in Section 3.4) demonstrate that the pipeline from vulnerability analysis to protection is viable and consistently effective across duplication, pruning, masking, and selective lock-step mechanisms. However, none of them formalise this translation as an explicit, resource-constrained optimisation problem, nor do they combine it with an interaction-aware, cross-layer vulnerability model — both of which are central objectives of the present work.</w:t>
      </w:r>
    </w:p>
    <w:p>
      <w:pPr>
        <w:pStyle w:val="Heading2"/>
        <w:spacing w:after="160" w:before="260"/>
      </w:pPr>
      <w:r>
        <w:rPr>
          <w:rFonts w:ascii="Times New Roman" w:cs="Times New Roman" w:eastAsia="Times New Roman" w:hAnsi="Times New Roman"/>
          <w:b/>
          <w:bCs/>
          <w:sz w:val="24"/>
          <w:szCs w:val="24"/>
        </w:rPr>
        <w:t xml:space="preserve">3.6 Simultaneous and Cross-Layer Fault Analysis</w:t>
      </w:r>
    </w:p>
    <w:p>
      <w:pPr>
        <w:spacing w:after="200" w:line="360"/>
        <w:jc w:val="both"/>
      </w:pPr>
      <w:r>
        <w:rPr>
          <w:rFonts w:ascii="Times New Roman" w:cs="Times New Roman" w:eastAsia="Times New Roman" w:hAnsi="Times New Roman"/>
          <w:sz w:val="22"/>
          <w:szCs w:val="22"/>
        </w:rPr>
        <w:t xml:space="preserve">Across the fifteen shortlisted 2024–2026 papers, cross-layer or cross-channel fault interaction is consistently treated as an open problem rather than a solved one. The systematic review by Ahmadilivani et al. explicitly flags the absence of scalable, interaction-aware vulnerability discovery, and the vulnerability-scoring methods reviewed in Section 3.3, while effective at identifying individually critical channels, evaluate and rank channels largely independently of one another, without a formal model of how simultaneous faults in different layers might interact as their effects propagate through the network. The distributed edge-inference study reviewed in Section 3.5 offers partial coverage of this dimension by considering interactions between faulty computation paths across multiple devices, but this addresses inter-device rather than intra-network, cross-layer channel interaction.</w:t>
      </w:r>
    </w:p>
    <w:p>
      <w:pPr>
        <w:spacing w:after="200" w:line="360"/>
        <w:jc w:val="both"/>
      </w:pPr>
      <w:r>
        <w:rPr>
          <w:rFonts w:ascii="Times New Roman" w:cs="Times New Roman" w:eastAsia="Times New Roman" w:hAnsi="Times New Roman"/>
          <w:sz w:val="22"/>
          <w:szCs w:val="22"/>
        </w:rPr>
        <w:t xml:space="preserve">Not one of the fifteen shortlisted papers explicitly models simultaneous, interacting faults across multiple internal layers of a single network. This is, by a clear margin, the most consistent and largest gap identified across the reviewed literature, and it directly motivates the cross-layer fault-interaction analysis component of the proposed VulnShield-DNN framework, in which selected top-ranked vulnerable channels drawn from different layers are evaluated together to determine whether their combined effect on model degradation differs from what would be predicted from their individually measured impacts.</w:t>
      </w:r>
    </w:p>
    <w:p>
      <w:pPr>
        <w:pStyle w:val="Heading2"/>
        <w:spacing w:after="160" w:before="260"/>
      </w:pPr>
      <w:r>
        <w:rPr>
          <w:rFonts w:ascii="Times New Roman" w:cs="Times New Roman" w:eastAsia="Times New Roman" w:hAnsi="Times New Roman"/>
          <w:b/>
          <w:bCs/>
          <w:sz w:val="24"/>
          <w:szCs w:val="24"/>
        </w:rPr>
        <w:t xml:space="preserve">3.7 Adversarial Sensitivity and Fault Vulnerability</w:t>
      </w:r>
    </w:p>
    <w:p>
      <w:pPr>
        <w:spacing w:after="200" w:line="360"/>
        <w:jc w:val="both"/>
      </w:pPr>
      <w:r>
        <w:rPr>
          <w:rFonts w:ascii="Times New Roman" w:cs="Times New Roman" w:eastAsia="Times New Roman" w:hAnsi="Times New Roman"/>
          <w:sz w:val="22"/>
          <w:szCs w:val="22"/>
        </w:rPr>
        <w:t xml:space="preserve">A 2025 systematic review published in an Elsevier ScienceDirect open-access journal consolidates the literature on disruptive attacks against artificial neural networks, comparing hardware-fault-injection attacks, including fault-injection attacks targeting communication protocols in multi-tenant cloud-FPGA deployments, with the detection and protection strategies developed to counter them. The review finds that fault-injection attacks remain a significant and growing challenge, particularly in shared or multi-tenant FPGA environments, and that most protection strategies reported in the surveyed literature are reactive and detection-based rather than proactively identifying and hardening the most exploitable components in advance.</w:t>
      </w:r>
    </w:p>
    <w:p>
      <w:pPr>
        <w:spacing w:after="200" w:line="360"/>
        <w:jc w:val="both"/>
      </w:pPr>
      <w:r>
        <w:rPr>
          <w:rFonts w:ascii="Times New Roman" w:cs="Times New Roman" w:eastAsia="Times New Roman" w:hAnsi="Times New Roman"/>
          <w:sz w:val="22"/>
          <w:szCs w:val="22"/>
        </w:rPr>
        <w:t xml:space="preserve">This review is notable for linking two research threads — security-motivated fault injection (deliberate attacks) and dependability-motivated fault injection (accidental hardware faults) — that address overlapping internal vulnerability structures but rarely share methods or terminology. This observation broadens the motivation for channel-level vulnerability identification in the present work: a criticality ranking derived from simulated hardware faults is potentially exploitable both accidentally, through natural hardware faults, and maliciously, through targeted fault-injection attacks, giving a vulnerability-ranking framework dual reliability-and-security relevance even though adversarial-attack mitigation itself lies outside the present project’s scope.</w:t>
      </w:r>
    </w:p>
    <w:p>
      <w:pPr>
        <w:pStyle w:val="Heading2"/>
        <w:spacing w:after="160" w:before="260"/>
      </w:pPr>
      <w:r>
        <w:rPr>
          <w:rFonts w:ascii="Times New Roman" w:cs="Times New Roman" w:eastAsia="Times New Roman" w:hAnsi="Times New Roman"/>
          <w:b/>
          <w:bCs/>
          <w:sz w:val="24"/>
          <w:szCs w:val="24"/>
        </w:rPr>
        <w:t xml:space="preserve">3.8 Comparative Analysis of Existing Approaches</w:t>
      </w:r>
    </w:p>
    <w:p>
      <w:pPr>
        <w:spacing w:after="200" w:line="360"/>
        <w:jc w:val="both"/>
      </w:pPr>
      <w:r>
        <w:rPr>
          <w:rFonts w:ascii="Times New Roman" w:cs="Times New Roman" w:eastAsia="Times New Roman" w:hAnsi="Times New Roman"/>
          <w:sz w:val="22"/>
          <w:szCs w:val="22"/>
        </w:rPr>
        <w:t xml:space="preserve">Table 3.1 summarises the fifteen shortlisted 2024–2026 studies in terms of their focus, methodology, principal finding, and the specific gap left open relative to the present project.</w:t>
      </w:r>
    </w:p>
    <w:p>
      <w:pPr>
        <w:spacing w:after="120" w:before="120"/>
        <w:jc w:val="center"/>
      </w:pPr>
      <w:r>
        <w:rPr>
          <w:rFonts w:ascii="Times New Roman" w:cs="Times New Roman" w:eastAsia="Times New Roman" w:hAnsi="Times New Roman"/>
          <w:i/>
          <w:iCs/>
          <w:sz w:val="22"/>
          <w:szCs w:val="22"/>
        </w:rPr>
        <w:t xml:space="preserve">Table 3.1: Summary of Reviewed Literature (2024–2026)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550"/>
        <w:gridCol w:w="1250"/>
        <w:gridCol w:w="1950"/>
        <w:gridCol w:w="2350"/>
        <w:gridCol w:w="1860"/>
      </w:tblGrid>
      <w:tr>
        <w:tc>
          <w:tcPr>
            <w:tcW w:type="dxa" w:w="400"/>
            <w:shd w:fill="D9D9D9" w:color="auto" w:val="clear"/>
            <w:tcMar>
              <w:top w:type="dxa" w:w="80"/>
              <w:left w:type="dxa" w:w="100"/>
              <w:bottom w:type="dxa" w:w="80"/>
              <w:right w:type="dxa" w:w="100"/>
            </w:tcMar>
            <w:vAlign w:val="center"/>
          </w:tcPr>
          <w:p>
            <w:r>
              <w:rPr>
                <w:rFonts w:ascii="Times New Roman" w:cs="Times New Roman" w:eastAsia="Times New Roman" w:hAnsi="Times New Roman"/>
                <w:b/>
                <w:bCs/>
                <w:sz w:val="18"/>
                <w:szCs w:val="18"/>
              </w:rPr>
              <w:t xml:space="preserve">#</w:t>
            </w:r>
          </w:p>
        </w:tc>
        <w:tc>
          <w:tcPr>
            <w:tcW w:type="dxa" w:w="1550"/>
            <w:shd w:fill="D9D9D9" w:color="auto" w:val="clear"/>
            <w:tcMar>
              <w:top w:type="dxa" w:w="80"/>
              <w:left w:type="dxa" w:w="100"/>
              <w:bottom w:type="dxa" w:w="80"/>
              <w:right w:type="dxa" w:w="100"/>
            </w:tcMar>
            <w:vAlign w:val="center"/>
          </w:tcPr>
          <w:p>
            <w:r>
              <w:rPr>
                <w:rFonts w:ascii="Times New Roman" w:cs="Times New Roman" w:eastAsia="Times New Roman" w:hAnsi="Times New Roman"/>
                <w:b/>
                <w:bCs/>
                <w:sz w:val="18"/>
                <w:szCs w:val="18"/>
              </w:rPr>
              <w:t xml:space="preserve">Study (Year)</w:t>
            </w:r>
          </w:p>
        </w:tc>
        <w:tc>
          <w:tcPr>
            <w:tcW w:type="dxa" w:w="1250"/>
            <w:shd w:fill="D9D9D9" w:color="auto" w:val="clear"/>
            <w:tcMar>
              <w:top w:type="dxa" w:w="80"/>
              <w:left w:type="dxa" w:w="100"/>
              <w:bottom w:type="dxa" w:w="80"/>
              <w:right w:type="dxa" w:w="100"/>
            </w:tcMar>
            <w:vAlign w:val="center"/>
          </w:tcPr>
          <w:p>
            <w:r>
              <w:rPr>
                <w:rFonts w:ascii="Times New Roman" w:cs="Times New Roman" w:eastAsia="Times New Roman" w:hAnsi="Times New Roman"/>
                <w:b/>
                <w:bCs/>
                <w:sz w:val="18"/>
                <w:szCs w:val="18"/>
              </w:rPr>
              <w:t xml:space="preserve">Venue</w:t>
            </w:r>
          </w:p>
        </w:tc>
        <w:tc>
          <w:tcPr>
            <w:tcW w:type="dxa" w:w="1950"/>
            <w:shd w:fill="D9D9D9" w:color="auto" w:val="clear"/>
            <w:tcMar>
              <w:top w:type="dxa" w:w="80"/>
              <w:left w:type="dxa" w:w="100"/>
              <w:bottom w:type="dxa" w:w="80"/>
              <w:right w:type="dxa" w:w="100"/>
            </w:tcMar>
            <w:vAlign w:val="center"/>
          </w:tcPr>
          <w:p>
            <w:r>
              <w:rPr>
                <w:rFonts w:ascii="Times New Roman" w:cs="Times New Roman" w:eastAsia="Times New Roman" w:hAnsi="Times New Roman"/>
                <w:b/>
                <w:bCs/>
                <w:sz w:val="18"/>
                <w:szCs w:val="18"/>
              </w:rPr>
              <w:t xml:space="preserve">Methodology</w:t>
            </w:r>
          </w:p>
        </w:tc>
        <w:tc>
          <w:tcPr>
            <w:tcW w:type="dxa" w:w="2350"/>
            <w:shd w:fill="D9D9D9" w:color="auto" w:val="clear"/>
            <w:tcMar>
              <w:top w:type="dxa" w:w="80"/>
              <w:left w:type="dxa" w:w="100"/>
              <w:bottom w:type="dxa" w:w="80"/>
              <w:right w:type="dxa" w:w="100"/>
            </w:tcMar>
            <w:vAlign w:val="center"/>
          </w:tcPr>
          <w:p>
            <w:r>
              <w:rPr>
                <w:rFonts w:ascii="Times New Roman" w:cs="Times New Roman" w:eastAsia="Times New Roman" w:hAnsi="Times New Roman"/>
                <w:b/>
                <w:bCs/>
                <w:sz w:val="18"/>
                <w:szCs w:val="18"/>
              </w:rPr>
              <w:t xml:space="preserve">Key Finding</w:t>
            </w:r>
          </w:p>
        </w:tc>
        <w:tc>
          <w:tcPr>
            <w:tcW w:type="dxa" w:w="1860"/>
            <w:shd w:fill="D9D9D9" w:color="auto" w:val="clear"/>
            <w:tcMar>
              <w:top w:type="dxa" w:w="80"/>
              <w:left w:type="dxa" w:w="100"/>
              <w:bottom w:type="dxa" w:w="80"/>
              <w:right w:type="dxa" w:w="100"/>
            </w:tcMar>
            <w:vAlign w:val="center"/>
          </w:tcPr>
          <w:p>
            <w:r>
              <w:rPr>
                <w:rFonts w:ascii="Times New Roman" w:cs="Times New Roman" w:eastAsia="Times New Roman" w:hAnsi="Times New Roman"/>
                <w:b/>
                <w:bCs/>
                <w:sz w:val="18"/>
                <w:szCs w:val="18"/>
              </w:rPr>
              <w:t xml:space="preserve">Gap vs. Present Work</w:t>
            </w:r>
          </w:p>
        </w:tc>
      </w:tr>
      <w:tr>
        <w:tc>
          <w:tcPr>
            <w:tcW w:type="dxa" w:w="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18"/>
                <w:szCs w:val="18"/>
              </w:rPr>
              <w:t xml:space="preserve">1</w:t>
            </w:r>
          </w:p>
        </w:tc>
        <w:tc>
          <w:tcPr>
            <w:tcW w:type="dxa" w:w="15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Ahmadilivani et al. (2024)</w:t>
            </w:r>
          </w:p>
        </w:tc>
        <w:tc>
          <w:tcPr>
            <w:tcW w:type="dxa" w:w="12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ACM Comput. Surv.</w:t>
            </w:r>
          </w:p>
        </w:tc>
        <w:tc>
          <w:tcPr>
            <w:tcW w:type="dxa" w:w="19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Systematic review of 100+ DNN hardware-reliability studies</w:t>
            </w:r>
          </w:p>
        </w:tc>
        <w:tc>
          <w:tcPr>
            <w:tcW w:type="dxa" w:w="23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Vulnerability is non-uniform across layers/channels; interaction-aware assessment is missing</w:t>
            </w:r>
          </w:p>
        </w:tc>
        <w:tc>
          <w:tcPr>
            <w:tcW w:type="dxa" w:w="186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No cross-layer interaction model</w:t>
            </w:r>
          </w:p>
        </w:tc>
      </w:tr>
      <w:tr>
        <w:tc>
          <w:tcPr>
            <w:tcW w:type="dxa" w:w="400"/>
            <w:shd w:fill="F2F2F2"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18"/>
                <w:szCs w:val="18"/>
              </w:rPr>
              <w:t xml:space="preserve">2</w:t>
            </w:r>
          </w:p>
        </w:tc>
        <w:tc>
          <w:tcPr>
            <w:tcW w:type="dxa" w:w="155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Yu, Tan &amp; Huang (2024)</w:t>
            </w:r>
          </w:p>
        </w:tc>
        <w:tc>
          <w:tcPr>
            <w:tcW w:type="dxa" w:w="125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ACM Comput. Surv.</w:t>
            </w:r>
          </w:p>
        </w:tc>
        <w:tc>
          <w:tcPr>
            <w:tcW w:type="dxa" w:w="195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Survey/classification of fault-injection tools by fidelity, cost, scope</w:t>
            </w:r>
          </w:p>
        </w:tc>
        <w:tc>
          <w:tcPr>
            <w:tcW w:type="dxa" w:w="235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Software injection under-estimates hardware effects; RTL/HW injection is accurate but costly</w:t>
            </w:r>
          </w:p>
        </w:tc>
        <w:tc>
          <w:tcPr>
            <w:tcW w:type="dxa" w:w="186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No efficient middle-ground sampling strategy</w:t>
            </w:r>
          </w:p>
        </w:tc>
      </w:tr>
      <w:tr>
        <w:tc>
          <w:tcPr>
            <w:tcW w:type="dxa" w:w="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18"/>
                <w:szCs w:val="18"/>
              </w:rPr>
              <w:t xml:space="preserve">3</w:t>
            </w:r>
          </w:p>
        </w:tc>
        <w:tc>
          <w:tcPr>
            <w:tcW w:type="dxa" w:w="15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Gutiérrez-Zaballa et al. (2024)</w:t>
            </w:r>
          </w:p>
        </w:tc>
        <w:tc>
          <w:tcPr>
            <w:tcW w:type="dxa" w:w="12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J. Syst. Archit.</w:t>
            </w:r>
          </w:p>
        </w:tc>
        <w:tc>
          <w:tcPr>
            <w:tcW w:type="dxa" w:w="19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Layer-wise, bit-position fault injection on embedded segmentation nets</w:t>
            </w:r>
          </w:p>
        </w:tc>
        <w:tc>
          <w:tcPr>
            <w:tcW w:type="dxa" w:w="23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Vulnerability concentrated near decoder/skip connections; most channels tolerant</w:t>
            </w:r>
          </w:p>
        </w:tc>
        <w:tc>
          <w:tcPr>
            <w:tcW w:type="dxa" w:w="186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Single architecture, no protection mechanism</w:t>
            </w:r>
          </w:p>
        </w:tc>
      </w:tr>
      <w:tr>
        <w:tc>
          <w:tcPr>
            <w:tcW w:type="dxa" w:w="400"/>
            <w:shd w:fill="F2F2F2"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18"/>
                <w:szCs w:val="18"/>
              </w:rPr>
              <w:t xml:space="preserve">4</w:t>
            </w:r>
          </w:p>
        </w:tc>
        <w:tc>
          <w:tcPr>
            <w:tcW w:type="dxa" w:w="155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Taheri et al. (2024)</w:t>
            </w:r>
          </w:p>
        </w:tc>
        <w:tc>
          <w:tcPr>
            <w:tcW w:type="dxa" w:w="125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DATE 2024</w:t>
            </w:r>
          </w:p>
        </w:tc>
        <w:tc>
          <w:tcPr>
            <w:tcW w:type="dxa" w:w="195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Activation-fault injection on quantized systolic-array accelerators</w:t>
            </w:r>
          </w:p>
        </w:tc>
        <w:tc>
          <w:tcPr>
            <w:tcW w:type="dxa" w:w="235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Quantization shifts which channels are critical depending on bit-width</w:t>
            </w:r>
          </w:p>
        </w:tc>
        <w:tc>
          <w:tcPr>
            <w:tcW w:type="dxa" w:w="186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No cross-layer or budget-aware protection</w:t>
            </w:r>
          </w:p>
        </w:tc>
      </w:tr>
      <w:tr>
        <w:tc>
          <w:tcPr>
            <w:tcW w:type="dxa" w:w="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18"/>
                <w:szCs w:val="18"/>
              </w:rPr>
              <w:t xml:space="preserve">5</w:t>
            </w:r>
          </w:p>
        </w:tc>
        <w:tc>
          <w:tcPr>
            <w:tcW w:type="dxa" w:w="15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Mesa Mesa &amp; Pérez Holguín (2025)</w:t>
            </w:r>
          </w:p>
        </w:tc>
        <w:tc>
          <w:tcPr>
            <w:tcW w:type="dxa" w:w="12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EIEI-ACOFI 2025</w:t>
            </w:r>
          </w:p>
        </w:tc>
        <w:tc>
          <w:tcPr>
            <w:tcW w:type="dxa" w:w="19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Fault injection on hardware-implemented DNNs</w:t>
            </w:r>
          </w:p>
        </w:tc>
        <w:tc>
          <w:tcPr>
            <w:tcW w:type="dxa" w:w="23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Confirms a small critical subset of layers/parameters dominates degradation</w:t>
            </w:r>
          </w:p>
        </w:tc>
        <w:tc>
          <w:tcPr>
            <w:tcW w:type="dxa" w:w="186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Independent, single-architecture confirmation only</w:t>
            </w:r>
          </w:p>
        </w:tc>
      </w:tr>
      <w:tr>
        <w:tc>
          <w:tcPr>
            <w:tcW w:type="dxa" w:w="400"/>
            <w:shd w:fill="F2F2F2"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18"/>
                <w:szCs w:val="18"/>
              </w:rPr>
              <w:t xml:space="preserve">6</w:t>
            </w:r>
          </w:p>
        </w:tc>
        <w:tc>
          <w:tcPr>
            <w:tcW w:type="dxa" w:w="155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Ahmadilivani et al. (2024)</w:t>
            </w:r>
          </w:p>
        </w:tc>
        <w:tc>
          <w:tcPr>
            <w:tcW w:type="dxa" w:w="125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IEEE IOLTS 2024</w:t>
            </w:r>
          </w:p>
        </w:tc>
        <w:tc>
          <w:tcPr>
            <w:tcW w:type="dxa" w:w="195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Per-channel vulnerability scoring; selective duplication + pruning</w:t>
            </w:r>
          </w:p>
        </w:tc>
        <w:tc>
          <w:tcPr>
            <w:tcW w:type="dxa" w:w="235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Duplicating top-ranked channels recovers most accuracy loss at low overhead</w:t>
            </w:r>
          </w:p>
        </w:tc>
        <w:tc>
          <w:tcPr>
            <w:tcW w:type="dxa" w:w="186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No explicit budget optimisation; no interaction modelling</w:t>
            </w:r>
          </w:p>
        </w:tc>
      </w:tr>
      <w:tr>
        <w:tc>
          <w:tcPr>
            <w:tcW w:type="dxa" w:w="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18"/>
                <w:szCs w:val="18"/>
              </w:rPr>
              <w:t xml:space="preserve">7</w:t>
            </w:r>
          </w:p>
        </w:tc>
        <w:tc>
          <w:tcPr>
            <w:tcW w:type="dxa" w:w="15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Ahsaei &amp; Raji (2025) — LOST-ViT</w:t>
            </w:r>
          </w:p>
        </w:tc>
        <w:tc>
          <w:tcPr>
            <w:tcW w:type="dxa" w:w="12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J. Syst. Archit.</w:t>
            </w:r>
          </w:p>
        </w:tc>
        <w:tc>
          <w:tcPr>
            <w:tcW w:type="dxa" w:w="19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Fine-grained sensitivity analysis of Vision Transformer encoders</w:t>
            </w:r>
          </w:p>
        </w:tc>
        <w:tc>
          <w:tcPr>
            <w:tcW w:type="dxa" w:w="23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Vulnerability concentrated in specific attention-head dimensions/weight types</w:t>
            </w:r>
          </w:p>
        </w:tc>
        <w:tc>
          <w:tcPr>
            <w:tcW w:type="dxa" w:w="186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Architecture-specific ranking method</w:t>
            </w:r>
          </w:p>
        </w:tc>
      </w:tr>
      <w:tr>
        <w:tc>
          <w:tcPr>
            <w:tcW w:type="dxa" w:w="400"/>
            <w:shd w:fill="F2F2F2"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18"/>
                <w:szCs w:val="18"/>
              </w:rPr>
              <w:t xml:space="preserve">8</w:t>
            </w:r>
          </w:p>
        </w:tc>
        <w:tc>
          <w:tcPr>
            <w:tcW w:type="dxa" w:w="155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Anonymous (2025)</w:t>
            </w:r>
          </w:p>
        </w:tc>
        <w:tc>
          <w:tcPr>
            <w:tcW w:type="dxa" w:w="125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Sensors (MDPI)</w:t>
            </w:r>
          </w:p>
        </w:tc>
        <w:tc>
          <w:tcPr>
            <w:tcW w:type="dxa" w:w="195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RL-learned per-layer bit-protection masks + transfer learning</w:t>
            </w:r>
          </w:p>
        </w:tc>
        <w:tc>
          <w:tcPr>
            <w:tcW w:type="dxa" w:w="235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RL masks outperform fixed schemes; criticality is non-monotonic with depth</w:t>
            </w:r>
          </w:p>
        </w:tc>
        <w:tc>
          <w:tcPr>
            <w:tcW w:type="dxa" w:w="186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Layer/bit granularity only; training cost is non-trivial</w:t>
            </w:r>
          </w:p>
        </w:tc>
      </w:tr>
      <w:tr>
        <w:tc>
          <w:tcPr>
            <w:tcW w:type="dxa" w:w="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18"/>
                <w:szCs w:val="18"/>
              </w:rPr>
              <w:t xml:space="preserve">9</w:t>
            </w:r>
          </w:p>
        </w:tc>
        <w:tc>
          <w:tcPr>
            <w:tcW w:type="dxa" w:w="15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Burel et al. (2024)</w:t>
            </w:r>
          </w:p>
        </w:tc>
        <w:tc>
          <w:tcPr>
            <w:tcW w:type="dxa" w:w="12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Microelectronics Reliability</w:t>
            </w:r>
          </w:p>
        </w:tc>
        <w:tc>
          <w:tcPr>
            <w:tcW w:type="dxa" w:w="19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Checksum/consistency-based detection-masking layers at selected points</w:t>
            </w:r>
          </w:p>
        </w:tc>
        <w:tc>
          <w:tcPr>
            <w:tcW w:type="dxa" w:w="23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Strategic placement catches most critical faults without full instrumentation</w:t>
            </w:r>
          </w:p>
        </w:tc>
        <w:tc>
          <w:tcPr>
            <w:tcW w:type="dxa" w:w="186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No formal budget-constrained optimisation</w:t>
            </w:r>
          </w:p>
        </w:tc>
      </w:tr>
      <w:tr>
        <w:tc>
          <w:tcPr>
            <w:tcW w:type="dxa" w:w="400"/>
            <w:shd w:fill="F2F2F2"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18"/>
                <w:szCs w:val="18"/>
              </w:rPr>
              <w:t xml:space="preserve">10</w:t>
            </w:r>
          </w:p>
        </w:tc>
        <w:tc>
          <w:tcPr>
            <w:tcW w:type="dxa" w:w="155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Syed et al. (2024)</w:t>
            </w:r>
          </w:p>
        </w:tc>
        <w:tc>
          <w:tcPr>
            <w:tcW w:type="dxa" w:w="125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IEEE Access</w:t>
            </w:r>
          </w:p>
        </w:tc>
        <w:tc>
          <w:tcPr>
            <w:tcW w:type="dxa" w:w="195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Reconfigurable fused-and-branched FPGA CNN accelerator</w:t>
            </w:r>
          </w:p>
        </w:tc>
        <w:tc>
          <w:tcPr>
            <w:tcW w:type="dxa" w:w="235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Redundancy on reliability-critical branches nears full-redundancy reliability at lower cost</w:t>
            </w:r>
          </w:p>
        </w:tc>
        <w:tc>
          <w:tcPr>
            <w:tcW w:type="dxa" w:w="186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Architecture/hardware-specific; no cross-layer model</w:t>
            </w:r>
          </w:p>
        </w:tc>
      </w:tr>
      <w:tr>
        <w:tc>
          <w:tcPr>
            <w:tcW w:type="dxa" w:w="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18"/>
                <w:szCs w:val="18"/>
              </w:rPr>
              <w:t xml:space="preserve">11</w:t>
            </w:r>
          </w:p>
        </w:tc>
        <w:tc>
          <w:tcPr>
            <w:tcW w:type="dxa" w:w="15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Sun et al. (2025) — Aphelios</w:t>
            </w:r>
          </w:p>
        </w:tc>
        <w:tc>
          <w:tcPr>
            <w:tcW w:type="dxa" w:w="12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ACM GLSVLSI 2025</w:t>
            </w:r>
          </w:p>
        </w:tc>
        <w:tc>
          <w:tcPr>
            <w:tcW w:type="dxa" w:w="19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Selective lock-step NPU with online criticality estimator</w:t>
            </w:r>
          </w:p>
        </w:tc>
        <w:tc>
          <w:tcPr>
            <w:tcW w:type="dxa" w:w="23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Selective lock-step recovers most reliability benefit at much lower energy/area cost</w:t>
            </w:r>
          </w:p>
        </w:tc>
        <w:tc>
          <w:tcPr>
            <w:tcW w:type="dxa" w:w="186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No cross-layer interaction analysis</w:t>
            </w:r>
          </w:p>
        </w:tc>
      </w:tr>
      <w:tr>
        <w:tc>
          <w:tcPr>
            <w:tcW w:type="dxa" w:w="400"/>
            <w:shd w:fill="F2F2F2"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18"/>
                <w:szCs w:val="18"/>
              </w:rPr>
              <w:t xml:space="preserve">12</w:t>
            </w:r>
          </w:p>
        </w:tc>
        <w:tc>
          <w:tcPr>
            <w:tcW w:type="dxa" w:w="155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Anonymous (2025)</w:t>
            </w:r>
          </w:p>
        </w:tc>
        <w:tc>
          <w:tcPr>
            <w:tcW w:type="dxa" w:w="125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Scientific Reports (Nature)</w:t>
            </w:r>
          </w:p>
        </w:tc>
        <w:tc>
          <w:tcPr>
            <w:tcW w:type="dxa" w:w="195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Selective, criticality-aware protection for distributed edge/IoT CNN inference</w:t>
            </w:r>
          </w:p>
        </w:tc>
        <w:tc>
          <w:tcPr>
            <w:tcW w:type="dxa" w:w="235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Lightweight runtime “modifier” compensates faulty/disconnected nodes</w:t>
            </w:r>
          </w:p>
        </w:tc>
        <w:tc>
          <w:tcPr>
            <w:tcW w:type="dxa" w:w="186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Inter-device, not intra-network cross-layer interaction</w:t>
            </w:r>
          </w:p>
        </w:tc>
      </w:tr>
      <w:tr>
        <w:tc>
          <w:tcPr>
            <w:tcW w:type="dxa" w:w="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18"/>
                <w:szCs w:val="18"/>
              </w:rPr>
              <w:t xml:space="preserve">13</w:t>
            </w:r>
          </w:p>
        </w:tc>
        <w:tc>
          <w:tcPr>
            <w:tcW w:type="dxa" w:w="15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Anonymous (2025)</w:t>
            </w:r>
          </w:p>
        </w:tc>
        <w:tc>
          <w:tcPr>
            <w:tcW w:type="dxa" w:w="12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Elsevier (ScienceDirect, OA)</w:t>
            </w:r>
          </w:p>
        </w:tc>
        <w:tc>
          <w:tcPr>
            <w:tcW w:type="dxa" w:w="19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Systematic review of disruptive attacks vs. protection strategies</w:t>
            </w:r>
          </w:p>
        </w:tc>
        <w:tc>
          <w:tcPr>
            <w:tcW w:type="dxa" w:w="23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Fault-injection attacks are growing; most defences are reactive, detection-based</w:t>
            </w:r>
          </w:p>
        </w:tc>
        <w:tc>
          <w:tcPr>
            <w:tcW w:type="dxa" w:w="186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No proactive, ranking-driven hardening strategy</w:t>
            </w:r>
          </w:p>
        </w:tc>
      </w:tr>
      <w:tr>
        <w:tc>
          <w:tcPr>
            <w:tcW w:type="dxa" w:w="400"/>
            <w:shd w:fill="F2F2F2"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18"/>
                <w:szCs w:val="18"/>
              </w:rPr>
              <w:t xml:space="preserve">14</w:t>
            </w:r>
          </w:p>
        </w:tc>
        <w:tc>
          <w:tcPr>
            <w:tcW w:type="dxa" w:w="155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Anonymous (2024/2025)</w:t>
            </w:r>
          </w:p>
        </w:tc>
        <w:tc>
          <w:tcPr>
            <w:tcW w:type="dxa" w:w="125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Conf. / DCIS-class architecture study</w:t>
            </w:r>
          </w:p>
        </w:tc>
        <w:tc>
          <w:tcPr>
            <w:tcW w:type="dxa" w:w="195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Edge/resource-constrained DNN accelerator architecture evaluation</w:t>
            </w:r>
          </w:p>
        </w:tc>
        <w:tc>
          <w:tcPr>
            <w:tcW w:type="dxa" w:w="235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Confirms budget constraints are a live, shared concern for edge deployment</w:t>
            </w:r>
          </w:p>
        </w:tc>
        <w:tc>
          <w:tcPr>
            <w:tcW w:type="dxa" w:w="186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No end-to-end discovery + interaction + protection pipeline</w:t>
            </w:r>
          </w:p>
        </w:tc>
      </w:tr>
      <w:tr>
        <w:tc>
          <w:tcPr>
            <w:tcW w:type="dxa" w:w="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18"/>
                <w:szCs w:val="18"/>
              </w:rPr>
              <w:t xml:space="preserve">15</w:t>
            </w:r>
          </w:p>
        </w:tc>
        <w:tc>
          <w:tcPr>
            <w:tcW w:type="dxa" w:w="15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Anonymous (2024/2025)</w:t>
            </w:r>
          </w:p>
        </w:tc>
        <w:tc>
          <w:tcPr>
            <w:tcW w:type="dxa" w:w="12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Conf. (activation-function reliability)</w:t>
            </w:r>
          </w:p>
        </w:tc>
        <w:tc>
          <w:tcPr>
            <w:tcW w:type="dxa" w:w="19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Reliability analysis of activation functions under fault injection</w:t>
            </w:r>
          </w:p>
        </w:tc>
        <w:tc>
          <w:tcPr>
            <w:tcW w:type="dxa" w:w="23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Activation-function choice modulates fault sensitivity at the edge</w:t>
            </w:r>
          </w:p>
        </w:tc>
        <w:tc>
          <w:tcPr>
            <w:tcW w:type="dxa" w:w="186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Narrow scope; no cross-layer or budget-aware protection link</w:t>
            </w:r>
          </w:p>
        </w:tc>
      </w:tr>
    </w:tbl>
    <w:p>
      <w:pPr>
        <w:spacing w:after="240"/>
      </w:pPr>
    </w:p>
    <w:p>
      <w:pPr>
        <w:spacing w:after="200" w:line="360"/>
        <w:jc w:val="both"/>
      </w:pPr>
      <w:r>
        <w:rPr>
          <w:rFonts w:ascii="Times New Roman" w:cs="Times New Roman" w:eastAsia="Times New Roman" w:hAnsi="Times New Roman"/>
          <w:sz w:val="22"/>
          <w:szCs w:val="22"/>
        </w:rPr>
        <w:t xml:space="preserve">To assess coverage more systematically, each study was additionally scored against the four pillars that define the VulnShield-DNN problem space: (P1) efficient, low-cost vulnerability discovery requiring few fault injections; (P2) cross-layer or cross-channel interaction modelling; (P3) budget-aware, selective (rather than uniform) protection; and (P4) edge or resource-constrained deployability. Each pillar was rated as “Strong,” “Partial,” or “No” coverage for each paper, summarised in Table 3.2.</w:t>
      </w:r>
    </w:p>
    <w:p>
      <w:pPr>
        <w:spacing w:after="120" w:before="120"/>
        <w:jc w:val="center"/>
      </w:pPr>
      <w:r>
        <w:rPr>
          <w:rFonts w:ascii="Times New Roman" w:cs="Times New Roman" w:eastAsia="Times New Roman" w:hAnsi="Times New Roman"/>
          <w:i/>
          <w:iCs/>
          <w:sz w:val="22"/>
          <w:szCs w:val="22"/>
        </w:rPr>
        <w:t xml:space="preserve">Table 3.2: Novelty–Gap Matrix Against the Four Project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3140"/>
        <w:gridCol w:w="1465"/>
        <w:gridCol w:w="1465"/>
        <w:gridCol w:w="1465"/>
        <w:gridCol w:w="1465"/>
      </w:tblGrid>
      <w:tr>
        <w:tc>
          <w:tcPr>
            <w:tcW w:type="dxa" w:w="360"/>
            <w:shd w:fill="D9D9D9" w:color="auto" w:val="clear"/>
            <w:tcMar>
              <w:top w:type="dxa" w:w="80"/>
              <w:left w:type="dxa" w:w="100"/>
              <w:bottom w:type="dxa" w:w="80"/>
              <w:right w:type="dxa" w:w="100"/>
            </w:tcMar>
            <w:vAlign w:val="center"/>
          </w:tcPr>
          <w:p>
            <w:r>
              <w:rPr>
                <w:rFonts w:ascii="Times New Roman" w:cs="Times New Roman" w:eastAsia="Times New Roman" w:hAnsi="Times New Roman"/>
                <w:b/>
                <w:bCs/>
                <w:sz w:val="18"/>
                <w:szCs w:val="18"/>
              </w:rPr>
              <w:t xml:space="preserve">#</w:t>
            </w:r>
          </w:p>
        </w:tc>
        <w:tc>
          <w:tcPr>
            <w:tcW w:type="dxa" w:w="3140"/>
            <w:shd w:fill="D9D9D9" w:color="auto" w:val="clear"/>
            <w:tcMar>
              <w:top w:type="dxa" w:w="80"/>
              <w:left w:type="dxa" w:w="100"/>
              <w:bottom w:type="dxa" w:w="80"/>
              <w:right w:type="dxa" w:w="100"/>
            </w:tcMar>
            <w:vAlign w:val="center"/>
          </w:tcPr>
          <w:p>
            <w:r>
              <w:rPr>
                <w:rFonts w:ascii="Times New Roman" w:cs="Times New Roman" w:eastAsia="Times New Roman" w:hAnsi="Times New Roman"/>
                <w:b/>
                <w:bCs/>
                <w:sz w:val="18"/>
                <w:szCs w:val="18"/>
              </w:rPr>
              <w:t xml:space="preserve">Study</w:t>
            </w:r>
          </w:p>
        </w:tc>
        <w:tc>
          <w:tcPr>
            <w:tcW w:type="dxa" w:w="1465"/>
            <w:shd w:fill="D9D9D9" w:color="auto" w:val="clear"/>
            <w:tcMar>
              <w:top w:type="dxa" w:w="80"/>
              <w:left w:type="dxa" w:w="100"/>
              <w:bottom w:type="dxa" w:w="80"/>
              <w:right w:type="dxa" w:w="100"/>
            </w:tcMar>
            <w:vAlign w:val="center"/>
          </w:tcPr>
          <w:p>
            <w:r>
              <w:rPr>
                <w:rFonts w:ascii="Times New Roman" w:cs="Times New Roman" w:eastAsia="Times New Roman" w:hAnsi="Times New Roman"/>
                <w:b/>
                <w:bCs/>
                <w:sz w:val="18"/>
                <w:szCs w:val="18"/>
              </w:rPr>
              <w:t xml:space="preserve">P1: Efficient Discovery</w:t>
            </w:r>
          </w:p>
        </w:tc>
        <w:tc>
          <w:tcPr>
            <w:tcW w:type="dxa" w:w="1465"/>
            <w:shd w:fill="D9D9D9" w:color="auto" w:val="clear"/>
            <w:tcMar>
              <w:top w:type="dxa" w:w="80"/>
              <w:left w:type="dxa" w:w="100"/>
              <w:bottom w:type="dxa" w:w="80"/>
              <w:right w:type="dxa" w:w="100"/>
            </w:tcMar>
            <w:vAlign w:val="center"/>
          </w:tcPr>
          <w:p>
            <w:r>
              <w:rPr>
                <w:rFonts w:ascii="Times New Roman" w:cs="Times New Roman" w:eastAsia="Times New Roman" w:hAnsi="Times New Roman"/>
                <w:b/>
                <w:bCs/>
                <w:sz w:val="18"/>
                <w:szCs w:val="18"/>
              </w:rPr>
              <w:t xml:space="preserve">P2: Cross-Layer Interaction</w:t>
            </w:r>
          </w:p>
        </w:tc>
        <w:tc>
          <w:tcPr>
            <w:tcW w:type="dxa" w:w="1465"/>
            <w:shd w:fill="D9D9D9" w:color="auto" w:val="clear"/>
            <w:tcMar>
              <w:top w:type="dxa" w:w="80"/>
              <w:left w:type="dxa" w:w="100"/>
              <w:bottom w:type="dxa" w:w="80"/>
              <w:right w:type="dxa" w:w="100"/>
            </w:tcMar>
            <w:vAlign w:val="center"/>
          </w:tcPr>
          <w:p>
            <w:r>
              <w:rPr>
                <w:rFonts w:ascii="Times New Roman" w:cs="Times New Roman" w:eastAsia="Times New Roman" w:hAnsi="Times New Roman"/>
                <w:b/>
                <w:bCs/>
                <w:sz w:val="18"/>
                <w:szCs w:val="18"/>
              </w:rPr>
              <w:t xml:space="preserve">P3: Budget-Aware Protection</w:t>
            </w:r>
          </w:p>
        </w:tc>
        <w:tc>
          <w:tcPr>
            <w:tcW w:type="dxa" w:w="1465"/>
            <w:shd w:fill="D9D9D9" w:color="auto" w:val="clear"/>
            <w:tcMar>
              <w:top w:type="dxa" w:w="80"/>
              <w:left w:type="dxa" w:w="100"/>
              <w:bottom w:type="dxa" w:w="80"/>
              <w:right w:type="dxa" w:w="100"/>
            </w:tcMar>
            <w:vAlign w:val="center"/>
          </w:tcPr>
          <w:p>
            <w:r>
              <w:rPr>
                <w:rFonts w:ascii="Times New Roman" w:cs="Times New Roman" w:eastAsia="Times New Roman" w:hAnsi="Times New Roman"/>
                <w:b/>
                <w:bCs/>
                <w:sz w:val="18"/>
                <w:szCs w:val="18"/>
              </w:rPr>
              <w:t xml:space="preserve">P4: Edge Deployability</w:t>
            </w:r>
          </w:p>
        </w:tc>
      </w:tr>
      <w:tr>
        <w:tc>
          <w:tcPr>
            <w:tcW w:type="dxa" w:w="36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18"/>
                <w:szCs w:val="18"/>
              </w:rPr>
              <w:t xml:space="preserve">1</w:t>
            </w:r>
          </w:p>
        </w:tc>
        <w:tc>
          <w:tcPr>
            <w:tcW w:type="dxa" w:w="314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Ahmadilivani et al. — Survey (2024)</w:t>
            </w:r>
          </w:p>
        </w:tc>
        <w:tc>
          <w:tcPr>
            <w:tcW w:type="dxa" w:w="1465"/>
            <w:shd w:fill="FFE69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18"/>
                <w:szCs w:val="18"/>
              </w:rPr>
              <w:t xml:space="preserve">Partial</w:t>
            </w:r>
          </w:p>
        </w:tc>
        <w:tc>
          <w:tcPr>
            <w:tcW w:type="dxa" w:w="1465"/>
            <w:shd w:fill="F2F2F2"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18"/>
                <w:szCs w:val="18"/>
              </w:rPr>
              <w:t xml:space="preserve">No</w:t>
            </w:r>
          </w:p>
        </w:tc>
        <w:tc>
          <w:tcPr>
            <w:tcW w:type="dxa" w:w="1465"/>
            <w:shd w:fill="F2F2F2"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18"/>
                <w:szCs w:val="18"/>
              </w:rPr>
              <w:t xml:space="preserve">No</w:t>
            </w:r>
          </w:p>
        </w:tc>
        <w:tc>
          <w:tcPr>
            <w:tcW w:type="dxa" w:w="1465"/>
            <w:shd w:fill="FFE69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18"/>
                <w:szCs w:val="18"/>
              </w:rPr>
              <w:t xml:space="preserve">Partial</w:t>
            </w:r>
          </w:p>
        </w:tc>
      </w:tr>
      <w:tr>
        <w:tc>
          <w:tcPr>
            <w:tcW w:type="dxa" w:w="36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18"/>
                <w:szCs w:val="18"/>
              </w:rPr>
              <w:t xml:space="preserve">2</w:t>
            </w:r>
          </w:p>
        </w:tc>
        <w:tc>
          <w:tcPr>
            <w:tcW w:type="dxa" w:w="314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Yu, Tan &amp; Huang — Survey (2024)</w:t>
            </w:r>
          </w:p>
        </w:tc>
        <w:tc>
          <w:tcPr>
            <w:tcW w:type="dxa" w:w="1465"/>
            <w:shd w:fill="FFE69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18"/>
                <w:szCs w:val="18"/>
              </w:rPr>
              <w:t xml:space="preserve">Partial</w:t>
            </w:r>
          </w:p>
        </w:tc>
        <w:tc>
          <w:tcPr>
            <w:tcW w:type="dxa" w:w="1465"/>
            <w:shd w:fill="F2F2F2"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18"/>
                <w:szCs w:val="18"/>
              </w:rPr>
              <w:t xml:space="preserve">No</w:t>
            </w:r>
          </w:p>
        </w:tc>
        <w:tc>
          <w:tcPr>
            <w:tcW w:type="dxa" w:w="1465"/>
            <w:shd w:fill="F2F2F2"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18"/>
                <w:szCs w:val="18"/>
              </w:rPr>
              <w:t xml:space="preserve">No</w:t>
            </w:r>
          </w:p>
        </w:tc>
        <w:tc>
          <w:tcPr>
            <w:tcW w:type="dxa" w:w="1465"/>
            <w:shd w:fill="F2F2F2"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18"/>
                <w:szCs w:val="18"/>
              </w:rPr>
              <w:t xml:space="preserve">No</w:t>
            </w:r>
          </w:p>
        </w:tc>
      </w:tr>
      <w:tr>
        <w:tc>
          <w:tcPr>
            <w:tcW w:type="dxa" w:w="36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18"/>
                <w:szCs w:val="18"/>
              </w:rPr>
              <w:t xml:space="preserve">3</w:t>
            </w:r>
          </w:p>
        </w:tc>
        <w:tc>
          <w:tcPr>
            <w:tcW w:type="dxa" w:w="314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Gutiérrez-Zaballa et al. (2024)</w:t>
            </w:r>
          </w:p>
        </w:tc>
        <w:tc>
          <w:tcPr>
            <w:tcW w:type="dxa" w:w="1465"/>
            <w:shd w:fill="FFE69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18"/>
                <w:szCs w:val="18"/>
              </w:rPr>
              <w:t xml:space="preserve">Partial</w:t>
            </w:r>
          </w:p>
        </w:tc>
        <w:tc>
          <w:tcPr>
            <w:tcW w:type="dxa" w:w="1465"/>
            <w:shd w:fill="F2F2F2"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18"/>
                <w:szCs w:val="18"/>
              </w:rPr>
              <w:t xml:space="preserve">No</w:t>
            </w:r>
          </w:p>
        </w:tc>
        <w:tc>
          <w:tcPr>
            <w:tcW w:type="dxa" w:w="1465"/>
            <w:shd w:fill="F2F2F2"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18"/>
                <w:szCs w:val="18"/>
              </w:rPr>
              <w:t xml:space="preserve">No</w:t>
            </w:r>
          </w:p>
        </w:tc>
        <w:tc>
          <w:tcPr>
            <w:tcW w:type="dxa" w:w="1465"/>
            <w:shd w:fill="C6E0B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18"/>
                <w:szCs w:val="18"/>
              </w:rPr>
              <w:t xml:space="preserve">Strong</w:t>
            </w:r>
          </w:p>
        </w:tc>
      </w:tr>
      <w:tr>
        <w:tc>
          <w:tcPr>
            <w:tcW w:type="dxa" w:w="36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18"/>
                <w:szCs w:val="18"/>
              </w:rPr>
              <w:t xml:space="preserve">4</w:t>
            </w:r>
          </w:p>
        </w:tc>
        <w:tc>
          <w:tcPr>
            <w:tcW w:type="dxa" w:w="314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Taheri et al. (2024)</w:t>
            </w:r>
          </w:p>
        </w:tc>
        <w:tc>
          <w:tcPr>
            <w:tcW w:type="dxa" w:w="1465"/>
            <w:shd w:fill="FFE69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18"/>
                <w:szCs w:val="18"/>
              </w:rPr>
              <w:t xml:space="preserve">Partial</w:t>
            </w:r>
          </w:p>
        </w:tc>
        <w:tc>
          <w:tcPr>
            <w:tcW w:type="dxa" w:w="1465"/>
            <w:shd w:fill="F2F2F2"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18"/>
                <w:szCs w:val="18"/>
              </w:rPr>
              <w:t xml:space="preserve">No</w:t>
            </w:r>
          </w:p>
        </w:tc>
        <w:tc>
          <w:tcPr>
            <w:tcW w:type="dxa" w:w="1465"/>
            <w:shd w:fill="F2F2F2"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18"/>
                <w:szCs w:val="18"/>
              </w:rPr>
              <w:t xml:space="preserve">No</w:t>
            </w:r>
          </w:p>
        </w:tc>
        <w:tc>
          <w:tcPr>
            <w:tcW w:type="dxa" w:w="1465"/>
            <w:shd w:fill="C6E0B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18"/>
                <w:szCs w:val="18"/>
              </w:rPr>
              <w:t xml:space="preserve">Strong</w:t>
            </w:r>
          </w:p>
        </w:tc>
      </w:tr>
      <w:tr>
        <w:tc>
          <w:tcPr>
            <w:tcW w:type="dxa" w:w="36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18"/>
                <w:szCs w:val="18"/>
              </w:rPr>
              <w:t xml:space="preserve">5</w:t>
            </w:r>
          </w:p>
        </w:tc>
        <w:tc>
          <w:tcPr>
            <w:tcW w:type="dxa" w:w="314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Mesa Mesa &amp; Pérez Holguín (2025)</w:t>
            </w:r>
          </w:p>
        </w:tc>
        <w:tc>
          <w:tcPr>
            <w:tcW w:type="dxa" w:w="1465"/>
            <w:shd w:fill="FFE69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18"/>
                <w:szCs w:val="18"/>
              </w:rPr>
              <w:t xml:space="preserve">Partial</w:t>
            </w:r>
          </w:p>
        </w:tc>
        <w:tc>
          <w:tcPr>
            <w:tcW w:type="dxa" w:w="1465"/>
            <w:shd w:fill="F2F2F2"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18"/>
                <w:szCs w:val="18"/>
              </w:rPr>
              <w:t xml:space="preserve">No</w:t>
            </w:r>
          </w:p>
        </w:tc>
        <w:tc>
          <w:tcPr>
            <w:tcW w:type="dxa" w:w="1465"/>
            <w:shd w:fill="F2F2F2"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18"/>
                <w:szCs w:val="18"/>
              </w:rPr>
              <w:t xml:space="preserve">No</w:t>
            </w:r>
          </w:p>
        </w:tc>
        <w:tc>
          <w:tcPr>
            <w:tcW w:type="dxa" w:w="1465"/>
            <w:shd w:fill="FFE69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18"/>
                <w:szCs w:val="18"/>
              </w:rPr>
              <w:t xml:space="preserve">Partial</w:t>
            </w:r>
          </w:p>
        </w:tc>
      </w:tr>
      <w:tr>
        <w:tc>
          <w:tcPr>
            <w:tcW w:type="dxa" w:w="36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18"/>
                <w:szCs w:val="18"/>
              </w:rPr>
              <w:t xml:space="preserve">6</w:t>
            </w:r>
          </w:p>
        </w:tc>
        <w:tc>
          <w:tcPr>
            <w:tcW w:type="dxa" w:w="314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Ahmadilivani et al. — IOLTS (2024)</w:t>
            </w:r>
          </w:p>
        </w:tc>
        <w:tc>
          <w:tcPr>
            <w:tcW w:type="dxa" w:w="1465"/>
            <w:shd w:fill="C6E0B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18"/>
                <w:szCs w:val="18"/>
              </w:rPr>
              <w:t xml:space="preserve">Strong</w:t>
            </w:r>
          </w:p>
        </w:tc>
        <w:tc>
          <w:tcPr>
            <w:tcW w:type="dxa" w:w="1465"/>
            <w:shd w:fill="FFE69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18"/>
                <w:szCs w:val="18"/>
              </w:rPr>
              <w:t xml:space="preserve">Partial</w:t>
            </w:r>
          </w:p>
        </w:tc>
        <w:tc>
          <w:tcPr>
            <w:tcW w:type="dxa" w:w="1465"/>
            <w:shd w:fill="C6E0B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18"/>
                <w:szCs w:val="18"/>
              </w:rPr>
              <w:t xml:space="preserve">Strong</w:t>
            </w:r>
          </w:p>
        </w:tc>
        <w:tc>
          <w:tcPr>
            <w:tcW w:type="dxa" w:w="1465"/>
            <w:shd w:fill="FFE69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18"/>
                <w:szCs w:val="18"/>
              </w:rPr>
              <w:t xml:space="preserve">Partial</w:t>
            </w:r>
          </w:p>
        </w:tc>
      </w:tr>
      <w:tr>
        <w:tc>
          <w:tcPr>
            <w:tcW w:type="dxa" w:w="36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18"/>
                <w:szCs w:val="18"/>
              </w:rPr>
              <w:t xml:space="preserve">7</w:t>
            </w:r>
          </w:p>
        </w:tc>
        <w:tc>
          <w:tcPr>
            <w:tcW w:type="dxa" w:w="314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Ahsaei &amp; Raji — LOST-ViT (2025)</w:t>
            </w:r>
          </w:p>
        </w:tc>
        <w:tc>
          <w:tcPr>
            <w:tcW w:type="dxa" w:w="1465"/>
            <w:shd w:fill="C6E0B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18"/>
                <w:szCs w:val="18"/>
              </w:rPr>
              <w:t xml:space="preserve">Strong</w:t>
            </w:r>
          </w:p>
        </w:tc>
        <w:tc>
          <w:tcPr>
            <w:tcW w:type="dxa" w:w="1465"/>
            <w:shd w:fill="F2F2F2"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18"/>
                <w:szCs w:val="18"/>
              </w:rPr>
              <w:t xml:space="preserve">No</w:t>
            </w:r>
          </w:p>
        </w:tc>
        <w:tc>
          <w:tcPr>
            <w:tcW w:type="dxa" w:w="1465"/>
            <w:shd w:fill="F2F2F2"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18"/>
                <w:szCs w:val="18"/>
              </w:rPr>
              <w:t xml:space="preserve">No</w:t>
            </w:r>
          </w:p>
        </w:tc>
        <w:tc>
          <w:tcPr>
            <w:tcW w:type="dxa" w:w="1465"/>
            <w:shd w:fill="FFE69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18"/>
                <w:szCs w:val="18"/>
              </w:rPr>
              <w:t xml:space="preserve">Partial</w:t>
            </w:r>
          </w:p>
        </w:tc>
      </w:tr>
      <w:tr>
        <w:tc>
          <w:tcPr>
            <w:tcW w:type="dxa" w:w="36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18"/>
                <w:szCs w:val="18"/>
              </w:rPr>
              <w:t xml:space="preserve">8</w:t>
            </w:r>
          </w:p>
        </w:tc>
        <w:tc>
          <w:tcPr>
            <w:tcW w:type="dxa" w:w="314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RL Bit-Masking — Sensors (2025)</w:t>
            </w:r>
          </w:p>
        </w:tc>
        <w:tc>
          <w:tcPr>
            <w:tcW w:type="dxa" w:w="1465"/>
            <w:shd w:fill="C6E0B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18"/>
                <w:szCs w:val="18"/>
              </w:rPr>
              <w:t xml:space="preserve">Strong</w:t>
            </w:r>
          </w:p>
        </w:tc>
        <w:tc>
          <w:tcPr>
            <w:tcW w:type="dxa" w:w="1465"/>
            <w:shd w:fill="F2F2F2"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18"/>
                <w:szCs w:val="18"/>
              </w:rPr>
              <w:t xml:space="preserve">No</w:t>
            </w:r>
          </w:p>
        </w:tc>
        <w:tc>
          <w:tcPr>
            <w:tcW w:type="dxa" w:w="1465"/>
            <w:shd w:fill="C6E0B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18"/>
                <w:szCs w:val="18"/>
              </w:rPr>
              <w:t xml:space="preserve">Strong</w:t>
            </w:r>
          </w:p>
        </w:tc>
        <w:tc>
          <w:tcPr>
            <w:tcW w:type="dxa" w:w="1465"/>
            <w:shd w:fill="C6E0B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18"/>
                <w:szCs w:val="18"/>
              </w:rPr>
              <w:t xml:space="preserve">Strong</w:t>
            </w:r>
          </w:p>
        </w:tc>
      </w:tr>
      <w:tr>
        <w:tc>
          <w:tcPr>
            <w:tcW w:type="dxa" w:w="36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18"/>
                <w:szCs w:val="18"/>
              </w:rPr>
              <w:t xml:space="preserve">9</w:t>
            </w:r>
          </w:p>
        </w:tc>
        <w:tc>
          <w:tcPr>
            <w:tcW w:type="dxa" w:w="314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Burel et al. (2024)</w:t>
            </w:r>
          </w:p>
        </w:tc>
        <w:tc>
          <w:tcPr>
            <w:tcW w:type="dxa" w:w="1465"/>
            <w:shd w:fill="FFE69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18"/>
                <w:szCs w:val="18"/>
              </w:rPr>
              <w:t xml:space="preserve">Partial</w:t>
            </w:r>
          </w:p>
        </w:tc>
        <w:tc>
          <w:tcPr>
            <w:tcW w:type="dxa" w:w="1465"/>
            <w:shd w:fill="F2F2F2"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18"/>
                <w:szCs w:val="18"/>
              </w:rPr>
              <w:t xml:space="preserve">No</w:t>
            </w:r>
          </w:p>
        </w:tc>
        <w:tc>
          <w:tcPr>
            <w:tcW w:type="dxa" w:w="1465"/>
            <w:shd w:fill="C6E0B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18"/>
                <w:szCs w:val="18"/>
              </w:rPr>
              <w:t xml:space="preserve">Strong</w:t>
            </w:r>
          </w:p>
        </w:tc>
        <w:tc>
          <w:tcPr>
            <w:tcW w:type="dxa" w:w="1465"/>
            <w:shd w:fill="C6E0B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18"/>
                <w:szCs w:val="18"/>
              </w:rPr>
              <w:t xml:space="preserve">Strong</w:t>
            </w:r>
          </w:p>
        </w:tc>
      </w:tr>
      <w:tr>
        <w:tc>
          <w:tcPr>
            <w:tcW w:type="dxa" w:w="36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18"/>
                <w:szCs w:val="18"/>
              </w:rPr>
              <w:t xml:space="preserve">10</w:t>
            </w:r>
          </w:p>
        </w:tc>
        <w:tc>
          <w:tcPr>
            <w:tcW w:type="dxa" w:w="314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Syed et al. — FPGA Accelerator (2024)</w:t>
            </w:r>
          </w:p>
        </w:tc>
        <w:tc>
          <w:tcPr>
            <w:tcW w:type="dxa" w:w="1465"/>
            <w:shd w:fill="F2F2F2"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18"/>
                <w:szCs w:val="18"/>
              </w:rPr>
              <w:t xml:space="preserve">No</w:t>
            </w:r>
          </w:p>
        </w:tc>
        <w:tc>
          <w:tcPr>
            <w:tcW w:type="dxa" w:w="1465"/>
            <w:shd w:fill="F2F2F2"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18"/>
                <w:szCs w:val="18"/>
              </w:rPr>
              <w:t xml:space="preserve">No</w:t>
            </w:r>
          </w:p>
        </w:tc>
        <w:tc>
          <w:tcPr>
            <w:tcW w:type="dxa" w:w="1465"/>
            <w:shd w:fill="C6E0B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18"/>
                <w:szCs w:val="18"/>
              </w:rPr>
              <w:t xml:space="preserve">Strong</w:t>
            </w:r>
          </w:p>
        </w:tc>
        <w:tc>
          <w:tcPr>
            <w:tcW w:type="dxa" w:w="1465"/>
            <w:shd w:fill="C6E0B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18"/>
                <w:szCs w:val="18"/>
              </w:rPr>
              <w:t xml:space="preserve">Strong</w:t>
            </w:r>
          </w:p>
        </w:tc>
      </w:tr>
      <w:tr>
        <w:tc>
          <w:tcPr>
            <w:tcW w:type="dxa" w:w="36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18"/>
                <w:szCs w:val="18"/>
              </w:rPr>
              <w:t xml:space="preserve">11</w:t>
            </w:r>
          </w:p>
        </w:tc>
        <w:tc>
          <w:tcPr>
            <w:tcW w:type="dxa" w:w="314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Sun et al. — Aphelios (2025)</w:t>
            </w:r>
          </w:p>
        </w:tc>
        <w:tc>
          <w:tcPr>
            <w:tcW w:type="dxa" w:w="1465"/>
            <w:shd w:fill="FFE69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18"/>
                <w:szCs w:val="18"/>
              </w:rPr>
              <w:t xml:space="preserve">Partial</w:t>
            </w:r>
          </w:p>
        </w:tc>
        <w:tc>
          <w:tcPr>
            <w:tcW w:type="dxa" w:w="1465"/>
            <w:shd w:fill="F2F2F2"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18"/>
                <w:szCs w:val="18"/>
              </w:rPr>
              <w:t xml:space="preserve">No</w:t>
            </w:r>
          </w:p>
        </w:tc>
        <w:tc>
          <w:tcPr>
            <w:tcW w:type="dxa" w:w="1465"/>
            <w:shd w:fill="C6E0B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18"/>
                <w:szCs w:val="18"/>
              </w:rPr>
              <w:t xml:space="preserve">Strong</w:t>
            </w:r>
          </w:p>
        </w:tc>
        <w:tc>
          <w:tcPr>
            <w:tcW w:type="dxa" w:w="1465"/>
            <w:shd w:fill="C6E0B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18"/>
                <w:szCs w:val="18"/>
              </w:rPr>
              <w:t xml:space="preserve">Strong</w:t>
            </w:r>
          </w:p>
        </w:tc>
      </w:tr>
      <w:tr>
        <w:tc>
          <w:tcPr>
            <w:tcW w:type="dxa" w:w="36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18"/>
                <w:szCs w:val="18"/>
              </w:rPr>
              <w:t xml:space="preserve">12</w:t>
            </w:r>
          </w:p>
        </w:tc>
        <w:tc>
          <w:tcPr>
            <w:tcW w:type="dxa" w:w="314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Distributed Edge Inference — Sci. Reports (2025)</w:t>
            </w:r>
          </w:p>
        </w:tc>
        <w:tc>
          <w:tcPr>
            <w:tcW w:type="dxa" w:w="1465"/>
            <w:shd w:fill="F2F2F2"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18"/>
                <w:szCs w:val="18"/>
              </w:rPr>
              <w:t xml:space="preserve">No</w:t>
            </w:r>
          </w:p>
        </w:tc>
        <w:tc>
          <w:tcPr>
            <w:tcW w:type="dxa" w:w="1465"/>
            <w:shd w:fill="FFE69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18"/>
                <w:szCs w:val="18"/>
              </w:rPr>
              <w:t xml:space="preserve">Partial</w:t>
            </w:r>
          </w:p>
        </w:tc>
        <w:tc>
          <w:tcPr>
            <w:tcW w:type="dxa" w:w="1465"/>
            <w:shd w:fill="C6E0B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18"/>
                <w:szCs w:val="18"/>
              </w:rPr>
              <w:t xml:space="preserve">Strong</w:t>
            </w:r>
          </w:p>
        </w:tc>
        <w:tc>
          <w:tcPr>
            <w:tcW w:type="dxa" w:w="1465"/>
            <w:shd w:fill="C6E0B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18"/>
                <w:szCs w:val="18"/>
              </w:rPr>
              <w:t xml:space="preserve">Strong</w:t>
            </w:r>
          </w:p>
        </w:tc>
      </w:tr>
      <w:tr>
        <w:tc>
          <w:tcPr>
            <w:tcW w:type="dxa" w:w="36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18"/>
                <w:szCs w:val="18"/>
              </w:rPr>
              <w:t xml:space="preserve">13</w:t>
            </w:r>
          </w:p>
        </w:tc>
        <w:tc>
          <w:tcPr>
            <w:tcW w:type="dxa" w:w="314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Adversarial/Fault Review — Elsevier (2025)</w:t>
            </w:r>
          </w:p>
        </w:tc>
        <w:tc>
          <w:tcPr>
            <w:tcW w:type="dxa" w:w="1465"/>
            <w:shd w:fill="F2F2F2"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18"/>
                <w:szCs w:val="18"/>
              </w:rPr>
              <w:t xml:space="preserve">No</w:t>
            </w:r>
          </w:p>
        </w:tc>
        <w:tc>
          <w:tcPr>
            <w:tcW w:type="dxa" w:w="1465"/>
            <w:shd w:fill="F2F2F2"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18"/>
                <w:szCs w:val="18"/>
              </w:rPr>
              <w:t xml:space="preserve">No</w:t>
            </w:r>
          </w:p>
        </w:tc>
        <w:tc>
          <w:tcPr>
            <w:tcW w:type="dxa" w:w="1465"/>
            <w:shd w:fill="F2F2F2"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18"/>
                <w:szCs w:val="18"/>
              </w:rPr>
              <w:t xml:space="preserve">No</w:t>
            </w:r>
          </w:p>
        </w:tc>
        <w:tc>
          <w:tcPr>
            <w:tcW w:type="dxa" w:w="1465"/>
            <w:shd w:fill="FFE69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18"/>
                <w:szCs w:val="18"/>
              </w:rPr>
              <w:t xml:space="preserve">Partial</w:t>
            </w:r>
          </w:p>
        </w:tc>
      </w:tr>
      <w:tr>
        <w:tc>
          <w:tcPr>
            <w:tcW w:type="dxa" w:w="36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18"/>
                <w:szCs w:val="18"/>
              </w:rPr>
              <w:t xml:space="preserve">14</w:t>
            </w:r>
          </w:p>
        </w:tc>
        <w:tc>
          <w:tcPr>
            <w:tcW w:type="dxa" w:w="314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DCIS-class Architecture Study</w:t>
            </w:r>
          </w:p>
        </w:tc>
        <w:tc>
          <w:tcPr>
            <w:tcW w:type="dxa" w:w="1465"/>
            <w:shd w:fill="F2F2F2"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18"/>
                <w:szCs w:val="18"/>
              </w:rPr>
              <w:t xml:space="preserve">No</w:t>
            </w:r>
          </w:p>
        </w:tc>
        <w:tc>
          <w:tcPr>
            <w:tcW w:type="dxa" w:w="1465"/>
            <w:shd w:fill="F2F2F2"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18"/>
                <w:szCs w:val="18"/>
              </w:rPr>
              <w:t xml:space="preserve">No</w:t>
            </w:r>
          </w:p>
        </w:tc>
        <w:tc>
          <w:tcPr>
            <w:tcW w:type="dxa" w:w="1465"/>
            <w:shd w:fill="C6E0B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18"/>
                <w:szCs w:val="18"/>
              </w:rPr>
              <w:t xml:space="preserve">Strong</w:t>
            </w:r>
          </w:p>
        </w:tc>
        <w:tc>
          <w:tcPr>
            <w:tcW w:type="dxa" w:w="1465"/>
            <w:shd w:fill="C6E0B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18"/>
                <w:szCs w:val="18"/>
              </w:rPr>
              <w:t xml:space="preserve">Strong</w:t>
            </w:r>
          </w:p>
        </w:tc>
      </w:tr>
      <w:tr>
        <w:tc>
          <w:tcPr>
            <w:tcW w:type="dxa" w:w="36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18"/>
                <w:szCs w:val="18"/>
              </w:rPr>
              <w:t xml:space="preserve">15</w:t>
            </w:r>
          </w:p>
        </w:tc>
        <w:tc>
          <w:tcPr>
            <w:tcW w:type="dxa" w:w="314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18"/>
                <w:szCs w:val="18"/>
              </w:rPr>
              <w:t xml:space="preserve">Activation-Function Reliability Study</w:t>
            </w:r>
          </w:p>
        </w:tc>
        <w:tc>
          <w:tcPr>
            <w:tcW w:type="dxa" w:w="1465"/>
            <w:shd w:fill="F2F2F2"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18"/>
                <w:szCs w:val="18"/>
              </w:rPr>
              <w:t xml:space="preserve">No</w:t>
            </w:r>
          </w:p>
        </w:tc>
        <w:tc>
          <w:tcPr>
            <w:tcW w:type="dxa" w:w="1465"/>
            <w:shd w:fill="F2F2F2"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18"/>
                <w:szCs w:val="18"/>
              </w:rPr>
              <w:t xml:space="preserve">No</w:t>
            </w:r>
          </w:p>
        </w:tc>
        <w:tc>
          <w:tcPr>
            <w:tcW w:type="dxa" w:w="1465"/>
            <w:shd w:fill="FFE69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18"/>
                <w:szCs w:val="18"/>
              </w:rPr>
              <w:t xml:space="preserve">Partial</w:t>
            </w:r>
          </w:p>
        </w:tc>
        <w:tc>
          <w:tcPr>
            <w:tcW w:type="dxa" w:w="1465"/>
            <w:shd w:fill="C6E0B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18"/>
                <w:szCs w:val="18"/>
              </w:rPr>
              <w:t xml:space="preserve">Strong</w:t>
            </w:r>
          </w:p>
        </w:tc>
      </w:tr>
    </w:tbl>
    <w:p>
      <w:pPr>
        <w:spacing w:after="240"/>
      </w:pPr>
    </w:p>
    <w:p>
      <w:pPr>
        <w:spacing w:after="200" w:line="360"/>
        <w:jc w:val="both"/>
      </w:pPr>
      <w:r>
        <w:rPr>
          <w:rFonts w:ascii="Times New Roman" w:cs="Times New Roman" w:eastAsia="Times New Roman" w:hAnsi="Times New Roman"/>
          <w:sz w:val="22"/>
          <w:szCs w:val="22"/>
        </w:rPr>
        <w:t xml:space="preserve">Aggregated across all fifteen papers, only three studies provide strong coverage of efficient vulnerability discovery (P1) and seven provide partial coverage; six provide strong and two partial coverage of budget-aware protection (P3); nine provide strong and five partial coverage of edge deployability (P4). By contrast, cross-layer interaction modelling (P2) receives strong coverage from none of the fifteen papers and only partial coverage from two — the distributed edge-inference study and the selective-duplication-and-pruning study — confirming quantitatively what Section 3.6 established qualitatively: cross-layer interaction is the least-addressed dimension in the current literature, while the other three pillars are each individually well-established, just not previously unified within a single framework.</w:t>
      </w:r>
    </w:p>
    <w:p>
      <w:pPr>
        <w:pStyle w:val="Heading2"/>
        <w:spacing w:after="160" w:before="260"/>
      </w:pPr>
      <w:r>
        <w:rPr>
          <w:rFonts w:ascii="Times New Roman" w:cs="Times New Roman" w:eastAsia="Times New Roman" w:hAnsi="Times New Roman"/>
          <w:b/>
          <w:bCs/>
          <w:sz w:val="24"/>
          <w:szCs w:val="24"/>
        </w:rPr>
        <w:t xml:space="preserve">3.9 Research Gap Analysis</w:t>
      </w:r>
    </w:p>
    <w:p>
      <w:pPr>
        <w:spacing w:after="200" w:line="360"/>
        <w:jc w:val="both"/>
      </w:pPr>
      <w:r>
        <w:rPr>
          <w:rFonts w:ascii="Times New Roman" w:cs="Times New Roman" w:eastAsia="Times New Roman" w:hAnsi="Times New Roman"/>
          <w:sz w:val="22"/>
          <w:szCs w:val="22"/>
        </w:rPr>
        <w:t xml:space="preserve">Synthesising the fifteen shortlisted studies against the problem addressed by VulnShield-DNN reveals a consistent pattern along six dimensions.</w:t>
      </w:r>
    </w:p>
    <w:p>
      <w:pPr>
        <w:pStyle w:val="ListParagraph"/>
        <w:numPr>
          <w:ilvl w:val="0"/>
          <w:numId w:val="1"/>
        </w:numPr>
        <w:spacing w:after="120" w:line="340"/>
      </w:pPr>
      <w:r>
        <w:rPr>
          <w:rFonts w:ascii="Times New Roman" w:cs="Times New Roman" w:eastAsia="Times New Roman" w:hAnsi="Times New Roman"/>
          <w:sz w:val="22"/>
          <w:szCs w:val="22"/>
        </w:rPr>
        <w:t xml:space="preserve">Non-uniform vulnerability: every empirical study reviewed — the selective-hardening study, the SEU segmentation study, the quantization study, the RL bit-masking study, the LOST-ViT study, and the hardware-implementation study — independently confirms that only a small subset of channels, neurons, or attention heads dominates fault impact, across CNNs, Vision Transformers, and segmentation networks. No paper, however, unifies this finding into one general-purpose, cross-architecture criticality-discovery algorithm.</w:t>
      </w:r>
    </w:p>
    <w:p>
      <w:pPr>
        <w:pStyle w:val="ListParagraph"/>
        <w:numPr>
          <w:ilvl w:val="0"/>
          <w:numId w:val="1"/>
        </w:numPr>
        <w:spacing w:after="120" w:line="340"/>
      </w:pPr>
      <w:r>
        <w:rPr>
          <w:rFonts w:ascii="Times New Roman" w:cs="Times New Roman" w:eastAsia="Times New Roman" w:hAnsi="Times New Roman"/>
          <w:sz w:val="22"/>
          <w:szCs w:val="22"/>
        </w:rPr>
        <w:t xml:space="preserve">Cost of vulnerability discovery: the two surveys and the empirical studies agree that exhaustive or random fault injection does not scale with network depth and width, and the RL-based protection study shows that learned, statistical shortcuts can help. No study, however, combines efficient sampling with a formal cross-layer model so that the required injection count scales sub-linearly with the product of depth and width, rather than per layer alone.</w:t>
      </w:r>
    </w:p>
    <w:p>
      <w:pPr>
        <w:pStyle w:val="ListParagraph"/>
        <w:numPr>
          <w:ilvl w:val="0"/>
          <w:numId w:val="1"/>
        </w:numPr>
        <w:spacing w:after="120" w:line="340"/>
      </w:pPr>
      <w:r>
        <w:rPr>
          <w:rFonts w:ascii="Times New Roman" w:cs="Times New Roman" w:eastAsia="Times New Roman" w:hAnsi="Times New Roman"/>
          <w:sz w:val="22"/>
          <w:szCs w:val="22"/>
        </w:rPr>
        <w:t xml:space="preserve">Cross-layer / cross-channel interaction: as established in Section 3.6, this is the single largest and most consistent gap — not one of the fifteen shortlisted papers explicitly models simultaneous, interacting faults across multiple layers.</w:t>
      </w:r>
    </w:p>
    <w:p>
      <w:pPr>
        <w:pStyle w:val="ListParagraph"/>
        <w:numPr>
          <w:ilvl w:val="0"/>
          <w:numId w:val="1"/>
        </w:numPr>
        <w:spacing w:after="120" w:line="340"/>
      </w:pPr>
      <w:r>
        <w:rPr>
          <w:rFonts w:ascii="Times New Roman" w:cs="Times New Roman" w:eastAsia="Times New Roman" w:hAnsi="Times New Roman"/>
          <w:sz w:val="22"/>
          <w:szCs w:val="22"/>
        </w:rPr>
        <w:t xml:space="preserve">From analysis to protection: several papers — the selective-hardening study, the masking study, the FPGA accelerator study, the RL protection study, the LOST-ViT study, and the Aphelios NPU study — do translate vulnerability findings into a protection mechanism, proving that the analysis-to-protection pipeline is viable. None, however, formalise this translation as a constrained optimisation problem under an explicit computational, energy, or memory budget.</w:t>
      </w:r>
    </w:p>
    <w:p>
      <w:pPr>
        <w:pStyle w:val="ListParagraph"/>
        <w:numPr>
          <w:ilvl w:val="0"/>
          <w:numId w:val="1"/>
        </w:numPr>
        <w:spacing w:after="120" w:line="340"/>
      </w:pPr>
      <w:r>
        <w:rPr>
          <w:rFonts w:ascii="Times New Roman" w:cs="Times New Roman" w:eastAsia="Times New Roman" w:hAnsi="Times New Roman"/>
          <w:sz w:val="22"/>
          <w:szCs w:val="22"/>
        </w:rPr>
        <w:t xml:space="preserve">Edge and resource-constrained validation: the FPGA accelerator, DCIS architecture, edge-IoT, Aphelios, and activation-function studies explicitly target embedded, edge, or IoT hardware, confirming that budget constraints are a live, shared concern in this research area, but no single paper evaluates the full pipeline — discovery, interaction modelling, and budget-aware protection — end-to-end under representative edge constraints.</w:t>
      </w:r>
    </w:p>
    <w:p>
      <w:pPr>
        <w:pStyle w:val="ListParagraph"/>
        <w:numPr>
          <w:ilvl w:val="0"/>
          <w:numId w:val="1"/>
        </w:numPr>
        <w:spacing w:after="120" w:line="340"/>
      </w:pPr>
      <w:r>
        <w:rPr>
          <w:rFonts w:ascii="Times New Roman" w:cs="Times New Roman" w:eastAsia="Times New Roman" w:hAnsi="Times New Roman"/>
          <w:sz w:val="22"/>
          <w:szCs w:val="22"/>
        </w:rPr>
        <w:t xml:space="preserve">Generality across architectures: findings are demonstrated across CNNs, Vision Transformers, and distributed edge systems, but each study is architecture-specific, leaving open the question of whether a single ranking method generalises across architecture families.</w:t>
      </w:r>
    </w:p>
    <w:p>
      <w:pPr>
        <w:spacing w:after="200" w:line="360"/>
        <w:jc w:val="both"/>
      </w:pPr>
      <w:r>
        <w:rPr>
          <w:rFonts w:ascii="Times New Roman" w:cs="Times New Roman" w:eastAsia="Times New Roman" w:hAnsi="Times New Roman"/>
          <w:sz w:val="22"/>
          <w:szCs w:val="22"/>
        </w:rPr>
        <w:t xml:space="preserve">In summary, the 2024–2026 literature strongly validates the premises underlying the problem statement of the present work — that DNN fault vulnerability is non-uniformly and sparsely concentrated, that exhaustive fault injection is prohibitively expensive at scale, and that vulnerability analysis can be viably converted into targeted protection — but it consistently stops short of (a) modelling cross-layer fault interactions and (b) formalising protection as a budget-constrained optimisation applied end-to-end on representative edge hardware. This is precisely the space that the proposed VulnShield-DNN framework occupies.</w:t>
      </w:r>
    </w:p>
    <w:p>
      <w:pPr>
        <w:pStyle w:val="Heading2"/>
        <w:spacing w:after="160" w:before="260"/>
      </w:pPr>
      <w:r>
        <w:rPr>
          <w:rFonts w:ascii="Times New Roman" w:cs="Times New Roman" w:eastAsia="Times New Roman" w:hAnsi="Times New Roman"/>
          <w:b/>
          <w:bCs/>
          <w:sz w:val="24"/>
          <w:szCs w:val="24"/>
        </w:rPr>
        <w:t xml:space="preserve">3.10 Novelty and Research Contributions</w:t>
      </w:r>
    </w:p>
    <w:p>
      <w:pPr>
        <w:spacing w:after="200" w:line="360"/>
        <w:jc w:val="both"/>
      </w:pPr>
      <w:r>
        <w:rPr>
          <w:rFonts w:ascii="Times New Roman" w:cs="Times New Roman" w:eastAsia="Times New Roman" w:hAnsi="Times New Roman"/>
          <w:sz w:val="22"/>
          <w:szCs w:val="22"/>
        </w:rPr>
        <w:t xml:space="preserve">Building directly on the gaps identified in Section 3.9, the novelty of the proposed VulnShield-DNN framework relative to the reviewed 2024–2026 literature can be summarised as follows.</w:t>
      </w:r>
    </w:p>
    <w:p>
      <w:pPr>
        <w:pStyle w:val="ListParagraph"/>
        <w:numPr>
          <w:ilvl w:val="0"/>
          <w:numId w:val="1"/>
        </w:numPr>
        <w:spacing w:after="120" w:line="340"/>
      </w:pPr>
      <w:r>
        <w:rPr>
          <w:rFonts w:ascii="Times New Roman" w:cs="Times New Roman" w:eastAsia="Times New Roman" w:hAnsi="Times New Roman"/>
          <w:sz w:val="22"/>
          <w:szCs w:val="22"/>
        </w:rPr>
        <w:t xml:space="preserve">Unified cross-architecture criticality discovery: whereas existing studies establish non-uniform vulnerability separately for CNNs, segmentation networks, quantized accelerators, and Vision Transformers, the proposed framework applies a single TD3-based discovery mechanism, evaluated primarily on ResNet-18 and additionally on VGG-16, working toward a criticality-discovery approach that is not tied to one architecture family.</w:t>
      </w:r>
    </w:p>
    <w:p>
      <w:pPr>
        <w:pStyle w:val="ListParagraph"/>
        <w:numPr>
          <w:ilvl w:val="0"/>
          <w:numId w:val="1"/>
        </w:numPr>
        <w:spacing w:after="120" w:line="340"/>
      </w:pPr>
      <w:r>
        <w:rPr>
          <w:rFonts w:ascii="Times New Roman" w:cs="Times New Roman" w:eastAsia="Times New Roman" w:hAnsi="Times New Roman"/>
          <w:sz w:val="22"/>
          <w:szCs w:val="22"/>
        </w:rPr>
        <w:t xml:space="preserve">Adaptive, budget-limited search: the framework advances beyond the closest prior work — which relies on limited fault-injection trials for per-channel scoring, or on RL-based bit-masking at layer granularity — by using a TD3 agent to intelligently select fault-injection locations under an explicit, limited fault-injection budget, and by directly comparing this against random search, activation-based ranking, gradient/Taylor-based ranking, and a layer-wise DDPG baseline within one consistent experimental setting.</w:t>
      </w:r>
    </w:p>
    <w:p>
      <w:pPr>
        <w:pStyle w:val="ListParagraph"/>
        <w:numPr>
          <w:ilvl w:val="0"/>
          <w:numId w:val="1"/>
        </w:numPr>
        <w:spacing w:after="120" w:line="340"/>
      </w:pPr>
      <w:r>
        <w:rPr>
          <w:rFonts w:ascii="Times New Roman" w:cs="Times New Roman" w:eastAsia="Times New Roman" w:hAnsi="Times New Roman"/>
          <w:sz w:val="22"/>
          <w:szCs w:val="22"/>
        </w:rPr>
        <w:t xml:space="preserve">Explicit cross-layer fault-interaction modelling: this is the framework’s primary novel contribution, directly addressing the single largest gap identified across all fifteen shortlisted papers, by investigating selected simultaneous faults in vulnerable channels drawn from different layers to determine whether their combined effect on model degradation differs from the sum of their individually measured impacts.</w:t>
      </w:r>
    </w:p>
    <w:p>
      <w:pPr>
        <w:pStyle w:val="ListParagraph"/>
        <w:numPr>
          <w:ilvl w:val="0"/>
          <w:numId w:val="1"/>
        </w:numPr>
        <w:spacing w:after="120" w:line="340"/>
      </w:pPr>
      <w:r>
        <w:rPr>
          <w:rFonts w:ascii="Times New Roman" w:cs="Times New Roman" w:eastAsia="Times New Roman" w:hAnsi="Times New Roman"/>
          <w:sz w:val="22"/>
          <w:szCs w:val="22"/>
        </w:rPr>
        <w:t xml:space="preserve">Budget-aware, vulnerability-guided protection: rather than applying fault-aware training uniformly, or relying on architecture-specific hardware redundancy as in the FPGA and NPU studies reviewed in Section 3.5, the framework uses the TD3-derived vulnerability ranking to guide targeted fault-aware fine-tuning of selected channels, evaluated under multiple protection budgets to characterise the trade-off between the number of protected channels, robustness improvement, clean-data accuracy, and computational overhead.</w:t>
      </w:r>
    </w:p>
    <w:p>
      <w:pPr>
        <w:pStyle w:val="ListParagraph"/>
        <w:numPr>
          <w:ilvl w:val="0"/>
          <w:numId w:val="1"/>
        </w:numPr>
        <w:spacing w:after="120" w:line="340"/>
      </w:pPr>
      <w:r>
        <w:rPr>
          <w:rFonts w:ascii="Times New Roman" w:cs="Times New Roman" w:eastAsia="Times New Roman" w:hAnsi="Times New Roman"/>
          <w:sz w:val="22"/>
          <w:szCs w:val="22"/>
        </w:rPr>
        <w:t xml:space="preserve">Joint reliability-and-efficiency evaluation: consistent with the edge-deployment concerns raised throughout the reviewed literature, the framework evaluates vulnerability-discovery efficiency, faulted accuracy, clean accuracy, robustness improvement, and computational overhead together, rather than treating fault tolerance and computational cost as separate, independently reported outcomes.</w:t>
      </w:r>
    </w:p>
    <w:p>
      <w:pPr>
        <w:spacing w:after="200" w:line="360"/>
        <w:jc w:val="both"/>
      </w:pPr>
      <w:r>
        <w:rPr>
          <w:rFonts w:ascii="Times New Roman" w:cs="Times New Roman" w:eastAsia="Times New Roman" w:hAnsi="Times New Roman"/>
          <w:sz w:val="22"/>
          <w:szCs w:val="22"/>
        </w:rPr>
        <w:t xml:space="preserve">Taken together, these contributions position VulnShield-DNN as a direct response to the research gap synthesised in Section 3.9: it retains the demonstrated strengths of the reviewed literature — learned, adaptive vulnerability search and evidence-based selective protection — while explicitly closing the cross-layer interaction gap and formalising the link between vulnerability discovery and budget-constrained protection that the existing 2024–2026 literature consistently leaves open.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2026-08-13T17:52:27.471Z</dcterms:created>
  <dcterms:modified xsi:type="dcterms:W3CDTF">2026-08-13T17:52:27.472Z</dcterms:modified>
</cp:coreProperties>
</file>

<file path=docProps/custom.xml><?xml version="1.0" encoding="utf-8"?>
<Properties xmlns="http://schemas.openxmlformats.org/officeDocument/2006/custom-properties" xmlns:vt="http://schemas.openxmlformats.org/officeDocument/2006/docPropsVTypes"/>
</file>