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30"/>
          <w:szCs w:val="30"/>
        </w:rPr>
        <w:t xml:space="preserve">PRODUCT VISION DOCUMENT</w:t>
      </w:r>
    </w:p>
    <w:p>
      <w:pPr>
        <w:spacing w:after="300"/>
      </w:pPr>
    </w:p>
    <w:p>
      <w:pPr>
        <w:jc w:val="center"/>
      </w:pPr>
      <w:r>
        <w:rPr>
          <w:b/>
          <w:bCs/>
          <w:color w:val="1F3864"/>
          <w:sz w:val="64"/>
          <w:szCs w:val="64"/>
        </w:rPr>
        <w:t xml:space="preserve">EventFlow AI</w:t>
      </w:r>
    </w:p>
    <w:p>
      <w:pPr>
        <w:spacing w:after="80"/>
      </w:pPr>
    </w:p>
    <w:p>
      <w:pPr>
        <w:jc w:val="center"/>
      </w:pPr>
      <w:r>
        <w:rPr>
          <w:i/>
          <w:iCs/>
          <w:color w:val="2E74B5"/>
          <w:sz w:val="26"/>
          <w:szCs w:val="26"/>
        </w:rPr>
        <w:t xml:space="preserve">Enterprise AI-Powered Event &amp; Festival Management Platform</w:t>
      </w:r>
    </w:p>
    <w:p>
      <w:pPr>
        <w:spacing w:after="700"/>
      </w:pPr>
    </w:p>
    <w:p>
      <w:pPr>
        <w:jc w:val="center"/>
      </w:pPr>
      <w:r>
        <w:rPr>
          <w:color w:val="595959"/>
          <w:sz w:val="22"/>
          <w:szCs w:val="22"/>
        </w:rPr>
        <w:t xml:space="preserve">Prepared for Internal Strategic Review, Engineering Planning, and Investor Diligence</w:t>
      </w:r>
    </w:p>
    <w:p>
      <w:pPr>
        <w:spacing w:after="1400"/>
      </w:pPr>
    </w:p>
    <w:p>
      <w:pPr>
        <w:jc w:val="center"/>
      </w:pPr>
      <w:r>
        <w:rPr>
          <w:b/>
          <w:bCs/>
          <w:color w:val="595959"/>
          <w:sz w:val="20"/>
          <w:szCs w:val="20"/>
        </w:rPr>
        <w:t xml:space="preserve">Document Classification: Confidential — Internal &amp; Investor Use Only</w:t>
      </w:r>
    </w:p>
    <w:p>
      <w:pPr>
        <w:spacing w:after="60"/>
      </w:pPr>
    </w:p>
    <w:p>
      <w:pPr>
        <w:jc w:val="center"/>
      </w:pPr>
      <w:r>
        <w:rPr>
          <w:color w:val="595959"/>
          <w:sz w:val="20"/>
          <w:szCs w:val="20"/>
        </w:rPr>
        <w:t xml:space="preserve">Version 1.0  |  July 2026</w:t>
      </w:r>
    </w:p>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pageBreakBefore/>
        <w:spacing w:after="160" w:before="24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240"/>
      </w:pPr>
      <w:r>
        <w:rPr>
          <w:b/>
          <w:bCs/>
          <w:color w:val="1F3864"/>
        </w:rPr>
        <w:t xml:space="preserve">2. Document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Field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Detail</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Document Title</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EventFlow AI — Product Vision Document</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Product Name</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EventFlow AI</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Document Type</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Product Vision Document (PVD)</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Document Owner</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Product Management Office</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Prepared By</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Office of the Chief Product Officer</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Distribution</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Founders, Engineering Leadership, Investors, Enterprise Stakeholders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Classification</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Confidential</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Status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Approved for Planning Phase</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Version</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1.0</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Date</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July 2026</w:t>
            </w:r>
          </w:p>
        </w:tc>
      </w:tr>
    </w:tbl>
    <w:p>
      <w:pPr>
        <w:pStyle w:val="Heading1"/>
        <w:pageBreakBefore/>
        <w:spacing w:after="160" w:before="240"/>
      </w:pPr>
      <w:r>
        <w:rPr>
          <w:b/>
          <w:bCs/>
          <w:color w:val="1F3864"/>
        </w:rPr>
        <w:t xml:space="preserve">3. 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500"/>
      </w:tblGrid>
      <w:tr>
        <w:trPr>
          <w:tblHeader/>
        </w:trPr>
        <w:tc>
          <w:tcPr>
            <w:tcW w:type="dxa" w:w="1400"/>
            <w:shd w:fill="1F3864" w:color="auto" w:val="clear"/>
            <w:tcMar>
              <w:top w:type="dxa" w:w="80"/>
              <w:left w:type="dxa" w:w="120"/>
              <w:bottom w:type="dxa" w:w="80"/>
              <w:right w:type="dxa" w:w="120"/>
            </w:tcMar>
            <w:vAlign w:val="center"/>
          </w:tcPr>
          <w:p>
            <w:pPr>
              <w:jc w:val="left"/>
            </w:pPr>
            <w:r>
              <w:rPr>
                <w:b/>
                <w:bCs/>
                <w:color w:val="FFFFFF"/>
              </w:rPr>
              <w:t xml:space="preserve">Version</w:t>
            </w:r>
          </w:p>
        </w:tc>
        <w:tc>
          <w:tcPr>
            <w:tcW w:type="dxa" w:w="1800"/>
            <w:shd w:fill="1F3864" w:color="auto" w:val="clear"/>
            <w:tcMar>
              <w:top w:type="dxa" w:w="80"/>
              <w:left w:type="dxa" w:w="120"/>
              <w:bottom w:type="dxa" w:w="80"/>
              <w:right w:type="dxa" w:w="120"/>
            </w:tcMar>
            <w:vAlign w:val="center"/>
          </w:tcPr>
          <w:p>
            <w:pPr>
              <w:jc w:val="left"/>
            </w:pPr>
            <w:r>
              <w:rPr>
                <w:b/>
                <w:bCs/>
                <w:color w:val="FFFFFF"/>
              </w:rPr>
              <w:t xml:space="preserve">Date</w:t>
            </w:r>
          </w:p>
        </w:tc>
        <w:tc>
          <w:tcPr>
            <w:tcW w:type="dxa" w:w="2800"/>
            <w:shd w:fill="1F3864" w:color="auto" w:val="clear"/>
            <w:tcMar>
              <w:top w:type="dxa" w:w="80"/>
              <w:left w:type="dxa" w:w="120"/>
              <w:bottom w:type="dxa" w:w="80"/>
              <w:right w:type="dxa" w:w="120"/>
            </w:tcMar>
            <w:vAlign w:val="center"/>
          </w:tcPr>
          <w:p>
            <w:pPr>
              <w:jc w:val="left"/>
            </w:pPr>
            <w:r>
              <w:rPr>
                <w:b/>
                <w:bCs/>
                <w:color w:val="FFFFFF"/>
              </w:rPr>
              <w:t xml:space="preserve">Author</w:t>
            </w:r>
          </w:p>
        </w:tc>
        <w:tc>
          <w:tcPr>
            <w:tcW w:type="dxa" w:w="3500"/>
            <w:shd w:fill="1F3864" w:color="auto" w:val="clear"/>
            <w:tcMar>
              <w:top w:type="dxa" w:w="80"/>
              <w:left w:type="dxa" w:w="120"/>
              <w:bottom w:type="dxa" w:w="80"/>
              <w:right w:type="dxa" w:w="120"/>
            </w:tcMar>
            <w:vAlign w:val="center"/>
          </w:tcPr>
          <w:p>
            <w:pPr>
              <w:jc w:val="left"/>
            </w:pPr>
            <w:r>
              <w:rPr>
                <w:b/>
                <w:bCs/>
                <w:color w:val="FFFFFF"/>
              </w:rPr>
              <w:t xml:space="preserve">Description of Changes</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0.1</w:t>
            </w:r>
          </w:p>
        </w:tc>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May 2026</w:t>
            </w:r>
          </w:p>
        </w:tc>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Product Management Office</w:t>
            </w:r>
          </w:p>
        </w:tc>
        <w:tc>
          <w:tcPr>
            <w:tcW w:type="dxa" w:w="3500"/>
            <w:shd w:fill="FFFFFF" w:color="auto" w:val="clear"/>
            <w:tcMar>
              <w:top w:type="dxa" w:w="80"/>
              <w:left w:type="dxa" w:w="120"/>
              <w:bottom w:type="dxa" w:w="80"/>
              <w:right w:type="dxa" w:w="120"/>
            </w:tcMar>
            <w:vAlign w:val="center"/>
          </w:tcPr>
          <w:p>
            <w:pPr>
              <w:jc w:val="left"/>
            </w:pPr>
            <w:r>
              <w:rPr>
                <w:b w:val="false"/>
                <w:bCs w:val="false"/>
                <w:color w:val="000000"/>
              </w:rPr>
              <w:t xml:space="preserve">Initial draft — vision, scope, and module inventory</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rPr>
              <w:t xml:space="preserve">0.5</w:t>
            </w:r>
          </w:p>
        </w:tc>
        <w:tc>
          <w:tcPr>
            <w:tcW w:type="dxa" w:w="1800"/>
            <w:shd w:fill="F2F2F2" w:color="auto" w:val="clear"/>
            <w:tcMar>
              <w:top w:type="dxa" w:w="80"/>
              <w:left w:type="dxa" w:w="120"/>
              <w:bottom w:type="dxa" w:w="80"/>
              <w:right w:type="dxa" w:w="120"/>
            </w:tcMar>
            <w:vAlign w:val="center"/>
          </w:tcPr>
          <w:p>
            <w:pPr>
              <w:jc w:val="left"/>
            </w:pPr>
            <w:r>
              <w:rPr>
                <w:b w:val="false"/>
                <w:bCs w:val="false"/>
                <w:color w:val="000000"/>
              </w:rPr>
              <w:t xml:space="preserve">June 2026</w:t>
            </w:r>
          </w:p>
        </w:tc>
        <w:tc>
          <w:tcPr>
            <w:tcW w:type="dxa" w:w="2800"/>
            <w:shd w:fill="F2F2F2" w:color="auto" w:val="clear"/>
            <w:tcMar>
              <w:top w:type="dxa" w:w="80"/>
              <w:left w:type="dxa" w:w="120"/>
              <w:bottom w:type="dxa" w:w="80"/>
              <w:right w:type="dxa" w:w="120"/>
            </w:tcMar>
            <w:vAlign w:val="center"/>
          </w:tcPr>
          <w:p>
            <w:pPr>
              <w:jc w:val="left"/>
            </w:pPr>
            <w:r>
              <w:rPr>
                <w:b w:val="false"/>
                <w:bCs w:val="false"/>
                <w:color w:val="000000"/>
              </w:rPr>
              <w:t xml:space="preserve">Product Management Office</w:t>
            </w:r>
          </w:p>
        </w:tc>
        <w:tc>
          <w:tcPr>
            <w:tcW w:type="dxa" w:w="3500"/>
            <w:shd w:fill="F2F2F2" w:color="auto" w:val="clear"/>
            <w:tcMar>
              <w:top w:type="dxa" w:w="80"/>
              <w:left w:type="dxa" w:w="120"/>
              <w:bottom w:type="dxa" w:w="80"/>
              <w:right w:type="dxa" w:w="120"/>
            </w:tcMar>
            <w:vAlign w:val="center"/>
          </w:tcPr>
          <w:p>
            <w:pPr>
              <w:jc w:val="left"/>
            </w:pPr>
            <w:r>
              <w:rPr>
                <w:b w:val="false"/>
                <w:bCs w:val="false"/>
                <w:color w:val="000000"/>
              </w:rPr>
              <w:t xml:space="preserve">Added AI vision, roadmap, and competitive analysis</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1.0</w:t>
            </w:r>
          </w:p>
        </w:tc>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July 2026</w:t>
            </w:r>
          </w:p>
        </w:tc>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Product Management Office</w:t>
            </w:r>
          </w:p>
        </w:tc>
        <w:tc>
          <w:tcPr>
            <w:tcW w:type="dxa" w:w="3500"/>
            <w:shd w:fill="FFFFFF" w:color="auto" w:val="clear"/>
            <w:tcMar>
              <w:top w:type="dxa" w:w="80"/>
              <w:left w:type="dxa" w:w="120"/>
              <w:bottom w:type="dxa" w:w="80"/>
              <w:right w:type="dxa" w:w="120"/>
            </w:tcMar>
            <w:vAlign w:val="center"/>
          </w:tcPr>
          <w:p>
            <w:pPr>
              <w:jc w:val="left"/>
            </w:pPr>
            <w:r>
              <w:rPr>
                <w:b w:val="false"/>
                <w:bCs w:val="false"/>
                <w:color w:val="000000"/>
              </w:rPr>
              <w:t xml:space="preserve">Finalized for internal review and investor circulation</w:t>
            </w:r>
          </w:p>
        </w:tc>
      </w:tr>
    </w:tbl>
    <w:p>
      <w:pPr>
        <w:pStyle w:val="Heading1"/>
        <w:pageBreakBefore/>
        <w:spacing w:after="160" w:before="240"/>
      </w:pPr>
      <w:r>
        <w:rPr>
          <w:b/>
          <w:bCs/>
          <w:color w:val="1F3864"/>
        </w:rPr>
        <w:t xml:space="preserve">4. Executive Summary</w:t>
      </w:r>
    </w:p>
    <w:p>
      <w:pPr>
        <w:spacing w:after="160" w:line="300"/>
        <w:jc w:val="both"/>
      </w:pPr>
      <w:r>
        <w:t xml:space="preserve">EventFlow AI is an enterprise-grade, cloud-ready Software-as-a-Service (SaaS) platform designed to digitize and automate the complete lifecycle of school, college, organizational, and institutional events and festivals. The platform replaces fragmented, manual processes — spreadsheets, WhatsApp groups, paper registration forms, and ad-hoc judging sheets — with a unified, auditable, and intelligent system of record.</w:t>
      </w:r>
    </w:p>
    <w:p>
      <w:pPr>
        <w:spacing w:after="160" w:line="300"/>
        <w:jc w:val="both"/>
      </w:pPr>
      <w:r>
        <w:t xml:space="preserve">The product is architected from inception as a multi-tenant commercial platform rather than a single-institution tool. It is built on a modern technology stack (Django, Django REST Framework, PostgreSQL, React, and TypeScript) and is distinguished from adjacent event-management tools by a native AI layer that assists administrators with registration validation, scheduling, result analysis, certificate verification, and natural-language operations support.</w:t>
      </w:r>
    </w:p>
    <w:p>
      <w:pPr>
        <w:spacing w:after="160" w:line="300"/>
        <w:jc w:val="both"/>
      </w:pPr>
      <w:r>
        <w:t xml:space="preserve">This document establishes the product vision, business rationale, target market, functional scope, non-functional expectations, and long-term roadmap for EventFlow AI. It is intended to align founders, engineering leadership, and investors on a single, unambiguous statement of what the product is, who it serves, and how it will scale from a first institutional deployment to a multi-organization commercial platform.</w:t>
      </w:r>
    </w:p>
    <w:p>
      <w:pPr>
        <w:pStyle w:val="Heading3"/>
        <w:spacing w:after="100" w:before="160"/>
      </w:pPr>
      <w:r>
        <w:rPr>
          <w:b/>
          <w:bCs/>
          <w:color w:val="595959"/>
        </w:rPr>
        <w:t xml:space="preserve">Key Highlights</w:t>
      </w:r>
    </w:p>
    <w:p>
      <w:pPr>
        <w:pStyle w:val="ListParagraph"/>
        <w:numPr>
          <w:ilvl w:val="0"/>
          <w:numId w:val="2"/>
        </w:numPr>
        <w:spacing w:after="90"/>
      </w:pPr>
      <w:r>
        <w:t xml:space="preserve">Full-lifecycle digitization of event and festival operations, from registration to certificate issuance.</w:t>
      </w:r>
    </w:p>
    <w:p>
      <w:pPr>
        <w:pStyle w:val="ListParagraph"/>
        <w:numPr>
          <w:ilvl w:val="0"/>
          <w:numId w:val="2"/>
        </w:numPr>
        <w:spacing w:after="90"/>
      </w:pPr>
      <w:r>
        <w:t xml:space="preserve">Native AI agents embedded across scheduling, judging, and administrative workflows rather than bolted on as a chatbot.</w:t>
      </w:r>
    </w:p>
    <w:p>
      <w:pPr>
        <w:pStyle w:val="ListParagraph"/>
        <w:numPr>
          <w:ilvl w:val="0"/>
          <w:numId w:val="2"/>
        </w:numPr>
        <w:spacing w:after="90"/>
      </w:pPr>
      <w:r>
        <w:t xml:space="preserve">Multi-tenant architecture supporting schools, colleges, universities, and eventually corporate and government organizations from a single codebase.</w:t>
      </w:r>
    </w:p>
    <w:p>
      <w:pPr>
        <w:pStyle w:val="ListParagraph"/>
        <w:numPr>
          <w:ilvl w:val="0"/>
          <w:numId w:val="2"/>
        </w:numPr>
        <w:spacing w:after="90"/>
      </w:pPr>
      <w:r>
        <w:t xml:space="preserve">Enterprise-grade security, auditability, and role-based access control suitable for institutional procurement requirements.</w:t>
      </w:r>
    </w:p>
    <w:p>
      <w:pPr>
        <w:pStyle w:val="ListParagraph"/>
        <w:numPr>
          <w:ilvl w:val="0"/>
          <w:numId w:val="2"/>
        </w:numPr>
        <w:spacing w:after="90"/>
      </w:pPr>
      <w:r>
        <w:t xml:space="preserve">A phased go-to-market strategy beginning with schools, expanding to colleges and universities, and ultimately to NGOs, government bodies, and event management companies.</w:t>
      </w:r>
    </w:p>
    <w:p>
      <w:pPr>
        <w:pStyle w:val="Heading1"/>
        <w:pageBreakBefore/>
        <w:spacing w:after="160" w:before="240"/>
      </w:pPr>
      <w:r>
        <w:rPr>
          <w:b/>
          <w:bCs/>
          <w:color w:val="1F3864"/>
        </w:rPr>
        <w:t xml:space="preserve">5. Product Vision Statement</w:t>
      </w:r>
    </w:p>
    <w:p>
      <w:pPr>
        <w:spacing w:after="200" w:before="100"/>
        <w:jc w:val="center"/>
      </w:pPr>
      <w:r>
        <w:rPr>
          <w:i/>
          <w:iCs/>
          <w:color w:val="1F3864"/>
          <w:sz w:val="24"/>
          <w:szCs w:val="24"/>
        </w:rPr>
        <w:t xml:space="preserve">“To become the operating system for institutional events — the single platform through which every school, college, and organization plans, executes, judges, and reports on its festivals and competitions, powered by AI that removes administrative burden and elevates decision quality.”</w:t>
      </w:r>
    </w:p>
    <w:p>
      <w:pPr>
        <w:spacing w:after="160" w:line="300"/>
        <w:jc w:val="both"/>
      </w:pPr>
      <w:r>
        <w:t xml:space="preserve">EventFlow AI exists to eliminate the operational chaos that surrounds institutional events. Administrators currently coordinate registrations, house allocations, judging panels, and results across disconnected tools, with no single source of truth and no meaningful audit trail. EventFlow AI's vision is to make event administration a solved problem: a configurable, intelligent platform that any institution can adopt in days rather than months, and that scales from a single festival to year-round, multi-department event operations.</w:t>
      </w:r>
    </w:p>
    <w:p>
      <w:pPr>
        <w:pStyle w:val="Heading1"/>
        <w:pageBreakBefore/>
        <w:spacing w:after="160" w:before="240"/>
      </w:pPr>
      <w:r>
        <w:rPr>
          <w:b/>
          <w:bCs/>
          <w:color w:val="1F3864"/>
        </w:rPr>
        <w:t xml:space="preserve">6. Mission Statement</w:t>
      </w:r>
    </w:p>
    <w:p>
      <w:pPr>
        <w:spacing w:after="160" w:line="300"/>
        <w:jc w:val="both"/>
      </w:pPr>
      <w:r>
        <w:t xml:space="preserve">Our mission is to deliver a secure, scalable, and intelligent event management platform that reduces administrative overhead, improves transparency and fairness in judging, and gives institutional leaders real-time visibility into every event they run — while building the underlying architecture required to serve thousands of organizations from a single, multi-tenant product.</w:t>
      </w:r>
    </w:p>
    <w:p>
      <w:pPr>
        <w:pStyle w:val="Heading3"/>
        <w:spacing w:after="100" w:before="160"/>
      </w:pPr>
      <w:r>
        <w:rPr>
          <w:b/>
          <w:bCs/>
          <w:color w:val="595959"/>
        </w:rPr>
        <w:t xml:space="preserve">Mission Pillars</w:t>
      </w:r>
    </w:p>
    <w:p>
      <w:pPr>
        <w:pStyle w:val="ListParagraph"/>
        <w:numPr>
          <w:ilvl w:val="0"/>
          <w:numId w:val="2"/>
        </w:numPr>
        <w:spacing w:after="90"/>
      </w:pPr>
      <w:r>
        <w:t xml:space="preserve">Automate: Remove repetitive manual work from registration, scheduling, judging, and reporting.</w:t>
      </w:r>
    </w:p>
    <w:p>
      <w:pPr>
        <w:pStyle w:val="ListParagraph"/>
        <w:numPr>
          <w:ilvl w:val="0"/>
          <w:numId w:val="2"/>
        </w:numPr>
        <w:spacing w:after="90"/>
      </w:pPr>
      <w:r>
        <w:t xml:space="preserve">Illuminate: Provide administrators and leadership with real-time, accurate visibility into event status and outcomes.</w:t>
      </w:r>
    </w:p>
    <w:p>
      <w:pPr>
        <w:pStyle w:val="ListParagraph"/>
        <w:numPr>
          <w:ilvl w:val="0"/>
          <w:numId w:val="2"/>
        </w:numPr>
        <w:spacing w:after="90"/>
      </w:pPr>
      <w:r>
        <w:t xml:space="preserve">Assist: Embed AI throughout the platform so that every administrative role has an intelligent assistant, not just a form.</w:t>
      </w:r>
    </w:p>
    <w:p>
      <w:pPr>
        <w:pStyle w:val="ListParagraph"/>
        <w:numPr>
          <w:ilvl w:val="0"/>
          <w:numId w:val="2"/>
        </w:numPr>
        <w:spacing w:after="90"/>
      </w:pPr>
      <w:r>
        <w:t xml:space="preserve">Scale: Architect every module for multi-tenant, multi-organization operation from day one.</w:t>
      </w:r>
    </w:p>
    <w:p>
      <w:pPr>
        <w:pStyle w:val="Heading1"/>
        <w:pageBreakBefore/>
        <w:spacing w:after="160" w:before="240"/>
      </w:pPr>
      <w:r>
        <w:rPr>
          <w:b/>
          <w:bCs/>
          <w:color w:val="1F3864"/>
        </w:rPr>
        <w:t xml:space="preserve">7. Problem Statement</w:t>
      </w:r>
    </w:p>
    <w:p>
      <w:pPr>
        <w:spacing w:after="160" w:line="300"/>
        <w:jc w:val="both"/>
      </w:pPr>
      <w:r>
        <w:t xml:space="preserve">Institutional events — school festivals, inter-house competitions, college fests, and organizational award ceremonies — are still run largely on manual and ad-hoc digital tools. Registration is collected through paper forms or shared spreadsheets. Communication is fragmented across WhatsApp groups, noticeboards, and email. Judging is conducted on paper scoresheets that are manually tallied, introducing delay and risk of error or dispute. Certificates are produced individually in word processors. Reporting to leadership is compiled manually after the event, often days later.</w:t>
      </w:r>
    </w:p>
    <w:p>
      <w:pPr>
        <w:spacing w:after="160" w:line="300"/>
        <w:jc w:val="both"/>
      </w:pPr>
      <w:r>
        <w:t xml:space="preserve">These processes do not scale. As the number of participants, houses, events, and judges grows, the coordination burden grows non-linearly, and the institutions most in need of structure — those running multi-day, multi-event festivals — are the ones least equipped to manage it manually. There is no institutional memory: each year's festival data is siloed in spreadsheets that are rarely reused, analyzed, or compared across years.</w:t>
      </w:r>
    </w:p>
    <w:p>
      <w:pPr>
        <w:pStyle w:val="Heading1"/>
        <w:pageBreakBefore/>
        <w:spacing w:after="160" w:before="240"/>
      </w:pPr>
      <w:r>
        <w:rPr>
          <w:b/>
          <w:bCs/>
          <w:color w:val="1F3864"/>
        </w:rPr>
        <w:t xml:space="preserve">8. Current Challenges in Event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00"/>
      </w:tblGrid>
      <w:tr>
        <w:trPr>
          <w:tblHeader/>
        </w:trPr>
        <w:tc>
          <w:tcPr>
            <w:tcW w:type="dxa" w:w="1800"/>
            <w:shd w:fill="1F3864" w:color="auto" w:val="clear"/>
            <w:tcMar>
              <w:top w:type="dxa" w:w="80"/>
              <w:left w:type="dxa" w:w="120"/>
              <w:bottom w:type="dxa" w:w="80"/>
              <w:right w:type="dxa" w:w="120"/>
            </w:tcMar>
            <w:vAlign w:val="center"/>
          </w:tcPr>
          <w:p>
            <w:pPr>
              <w:jc w:val="left"/>
            </w:pPr>
            <w:r>
              <w:rPr>
                <w:b/>
                <w:bCs/>
                <w:color w:val="FFFFFF"/>
              </w:rPr>
              <w:t xml:space="preserve">Challenge Area</w:t>
            </w:r>
          </w:p>
        </w:tc>
        <w:tc>
          <w:tcPr>
            <w:tcW w:type="dxa" w:w="3900"/>
            <w:shd w:fill="1F3864" w:color="auto" w:val="clear"/>
            <w:tcMar>
              <w:top w:type="dxa" w:w="80"/>
              <w:left w:type="dxa" w:w="120"/>
              <w:bottom w:type="dxa" w:w="80"/>
              <w:right w:type="dxa" w:w="120"/>
            </w:tcMar>
            <w:vAlign w:val="center"/>
          </w:tcPr>
          <w:p>
            <w:pPr>
              <w:jc w:val="left"/>
            </w:pPr>
            <w:r>
              <w:rPr>
                <w:b/>
                <w:bCs/>
                <w:color w:val="FFFFFF"/>
              </w:rPr>
              <w:t xml:space="preserve">Description</w:t>
            </w:r>
          </w:p>
        </w:tc>
        <w:tc>
          <w:tcPr>
            <w:tcW w:type="dxa" w:w="3300"/>
            <w:shd w:fill="1F3864" w:color="auto" w:val="clear"/>
            <w:tcMar>
              <w:top w:type="dxa" w:w="80"/>
              <w:left w:type="dxa" w:w="120"/>
              <w:bottom w:type="dxa" w:w="80"/>
              <w:right w:type="dxa" w:w="120"/>
            </w:tcMar>
            <w:vAlign w:val="center"/>
          </w:tcPr>
          <w:p>
            <w:pPr>
              <w:jc w:val="left"/>
            </w:pPr>
            <w:r>
              <w:rPr>
                <w:b/>
                <w:bCs/>
                <w:color w:val="FFFFFF"/>
              </w:rPr>
              <w:t xml:space="preserve">Impact</w:t>
            </w:r>
          </w:p>
        </w:tc>
      </w:tr>
      <w:tr>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Registration</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rPr>
              <w:t xml:space="preserve">Manual, paper- or spreadsheet-based collection of participant and team data</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Data errors, duplicate entries, delayed confirmation</w:t>
            </w:r>
          </w:p>
        </w:tc>
      </w:tr>
      <w:tr>
        <w:tc>
          <w:tcPr>
            <w:tcW w:type="dxa" w:w="1800"/>
            <w:shd w:fill="F2F2F2" w:color="auto" w:val="clear"/>
            <w:tcMar>
              <w:top w:type="dxa" w:w="80"/>
              <w:left w:type="dxa" w:w="120"/>
              <w:bottom w:type="dxa" w:w="80"/>
              <w:right w:type="dxa" w:w="120"/>
            </w:tcMar>
            <w:vAlign w:val="center"/>
          </w:tcPr>
          <w:p>
            <w:pPr>
              <w:jc w:val="left"/>
            </w:pPr>
            <w:r>
              <w:rPr>
                <w:b w:val="false"/>
                <w:bCs w:val="false"/>
                <w:color w:val="000000"/>
              </w:rPr>
              <w:t xml:space="preserve">Scheduling</w:t>
            </w:r>
          </w:p>
        </w:tc>
        <w:tc>
          <w:tcPr>
            <w:tcW w:type="dxa" w:w="3900"/>
            <w:shd w:fill="F2F2F2" w:color="auto" w:val="clear"/>
            <w:tcMar>
              <w:top w:type="dxa" w:w="80"/>
              <w:left w:type="dxa" w:w="120"/>
              <w:bottom w:type="dxa" w:w="80"/>
              <w:right w:type="dxa" w:w="120"/>
            </w:tcMar>
            <w:vAlign w:val="center"/>
          </w:tcPr>
          <w:p>
            <w:pPr>
              <w:jc w:val="left"/>
            </w:pPr>
            <w:r>
              <w:rPr>
                <w:b w:val="false"/>
                <w:bCs w:val="false"/>
                <w:color w:val="000000"/>
              </w:rPr>
              <w:t xml:space="preserve">Event and venue timetables built manually in spreadsheets</w:t>
            </w:r>
          </w:p>
        </w:tc>
        <w:tc>
          <w:tcPr>
            <w:tcW w:type="dxa" w:w="3300"/>
            <w:shd w:fill="F2F2F2" w:color="auto" w:val="clear"/>
            <w:tcMar>
              <w:top w:type="dxa" w:w="80"/>
              <w:left w:type="dxa" w:w="120"/>
              <w:bottom w:type="dxa" w:w="80"/>
              <w:right w:type="dxa" w:w="120"/>
            </w:tcMar>
            <w:vAlign w:val="center"/>
          </w:tcPr>
          <w:p>
            <w:pPr>
              <w:jc w:val="left"/>
            </w:pPr>
            <w:r>
              <w:rPr>
                <w:b w:val="false"/>
                <w:bCs w:val="false"/>
                <w:color w:val="000000"/>
              </w:rPr>
              <w:t xml:space="preserve">Venue clashes, participant double-booking</w:t>
            </w:r>
          </w:p>
        </w:tc>
      </w:tr>
      <w:tr>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Judging</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rPr>
              <w:t xml:space="preserve">Paper scoresheets tallied by hand</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Calculation errors, disputes, lack of transparency</w:t>
            </w:r>
          </w:p>
        </w:tc>
      </w:tr>
      <w:tr>
        <w:tc>
          <w:tcPr>
            <w:tcW w:type="dxa" w:w="1800"/>
            <w:shd w:fill="F2F2F2" w:color="auto" w:val="clear"/>
            <w:tcMar>
              <w:top w:type="dxa" w:w="80"/>
              <w:left w:type="dxa" w:w="120"/>
              <w:bottom w:type="dxa" w:w="80"/>
              <w:right w:type="dxa" w:w="120"/>
            </w:tcMar>
            <w:vAlign w:val="center"/>
          </w:tcPr>
          <w:p>
            <w:pPr>
              <w:jc w:val="left"/>
            </w:pPr>
            <w:r>
              <w:rPr>
                <w:b w:val="false"/>
                <w:bCs w:val="false"/>
                <w:color w:val="000000"/>
              </w:rPr>
              <w:t xml:space="preserve">Communication</w:t>
            </w:r>
          </w:p>
        </w:tc>
        <w:tc>
          <w:tcPr>
            <w:tcW w:type="dxa" w:w="3900"/>
            <w:shd w:fill="F2F2F2" w:color="auto" w:val="clear"/>
            <w:tcMar>
              <w:top w:type="dxa" w:w="80"/>
              <w:left w:type="dxa" w:w="120"/>
              <w:bottom w:type="dxa" w:w="80"/>
              <w:right w:type="dxa" w:w="120"/>
            </w:tcMar>
            <w:vAlign w:val="center"/>
          </w:tcPr>
          <w:p>
            <w:pPr>
              <w:jc w:val="left"/>
            </w:pPr>
            <w:r>
              <w:rPr>
                <w:b w:val="false"/>
                <w:bCs w:val="false"/>
                <w:color w:val="000000"/>
              </w:rPr>
              <w:t xml:space="preserve">Fragmented across WhatsApp, noticeboards, and email</w:t>
            </w:r>
          </w:p>
        </w:tc>
        <w:tc>
          <w:tcPr>
            <w:tcW w:type="dxa" w:w="3300"/>
            <w:shd w:fill="F2F2F2" w:color="auto" w:val="clear"/>
            <w:tcMar>
              <w:top w:type="dxa" w:w="80"/>
              <w:left w:type="dxa" w:w="120"/>
              <w:bottom w:type="dxa" w:w="80"/>
              <w:right w:type="dxa" w:w="120"/>
            </w:tcMar>
            <w:vAlign w:val="center"/>
          </w:tcPr>
          <w:p>
            <w:pPr>
              <w:jc w:val="left"/>
            </w:pPr>
            <w:r>
              <w:rPr>
                <w:b w:val="false"/>
                <w:bCs w:val="false"/>
                <w:color w:val="000000"/>
              </w:rPr>
              <w:t xml:space="preserve">Missed updates, inconsistent information</w:t>
            </w:r>
          </w:p>
        </w:tc>
      </w:tr>
      <w:tr>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Results &amp; Certificates</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rPr>
              <w:t xml:space="preserve">Compiled and generated manually per participant</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Slow turnaround, inconsistent formatting, human error</w:t>
            </w:r>
          </w:p>
        </w:tc>
      </w:tr>
      <w:tr>
        <w:tc>
          <w:tcPr>
            <w:tcW w:type="dxa" w:w="1800"/>
            <w:shd w:fill="F2F2F2" w:color="auto" w:val="clear"/>
            <w:tcMar>
              <w:top w:type="dxa" w:w="80"/>
              <w:left w:type="dxa" w:w="120"/>
              <w:bottom w:type="dxa" w:w="80"/>
              <w:right w:type="dxa" w:w="120"/>
            </w:tcMar>
            <w:vAlign w:val="center"/>
          </w:tcPr>
          <w:p>
            <w:pPr>
              <w:jc w:val="left"/>
            </w:pPr>
            <w:r>
              <w:rPr>
                <w:b w:val="false"/>
                <w:bCs w:val="false"/>
                <w:color w:val="000000"/>
              </w:rPr>
              <w:t xml:space="preserve">Reporting</w:t>
            </w:r>
          </w:p>
        </w:tc>
        <w:tc>
          <w:tcPr>
            <w:tcW w:type="dxa" w:w="3900"/>
            <w:shd w:fill="F2F2F2" w:color="auto" w:val="clear"/>
            <w:tcMar>
              <w:top w:type="dxa" w:w="80"/>
              <w:left w:type="dxa" w:w="120"/>
              <w:bottom w:type="dxa" w:w="80"/>
              <w:right w:type="dxa" w:w="120"/>
            </w:tcMar>
            <w:vAlign w:val="center"/>
          </w:tcPr>
          <w:p>
            <w:pPr>
              <w:jc w:val="left"/>
            </w:pPr>
            <w:r>
              <w:rPr>
                <w:b w:val="false"/>
                <w:bCs w:val="false"/>
                <w:color w:val="000000"/>
              </w:rPr>
              <w:t xml:space="preserve">Assembled after the fact, often incomplete</w:t>
            </w:r>
          </w:p>
        </w:tc>
        <w:tc>
          <w:tcPr>
            <w:tcW w:type="dxa" w:w="3300"/>
            <w:shd w:fill="F2F2F2" w:color="auto" w:val="clear"/>
            <w:tcMar>
              <w:top w:type="dxa" w:w="80"/>
              <w:left w:type="dxa" w:w="120"/>
              <w:bottom w:type="dxa" w:w="80"/>
              <w:right w:type="dxa" w:w="120"/>
            </w:tcMar>
            <w:vAlign w:val="center"/>
          </w:tcPr>
          <w:p>
            <w:pPr>
              <w:jc w:val="left"/>
            </w:pPr>
            <w:r>
              <w:rPr>
                <w:b w:val="false"/>
                <w:bCs w:val="false"/>
                <w:color w:val="000000"/>
              </w:rPr>
              <w:t xml:space="preserve">Leadership lacks real-time visibility into event health</w:t>
            </w:r>
          </w:p>
        </w:tc>
      </w:tr>
      <w:tr>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Data Continuity</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rPr>
              <w:t xml:space="preserve">Each year's data siloed in disconnected files</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No historical analytics, no institutional memory</w:t>
            </w:r>
          </w:p>
        </w:tc>
      </w:tr>
    </w:tbl>
    <w:p>
      <w:pPr>
        <w:pStyle w:val="Heading1"/>
        <w:pageBreakBefore/>
        <w:spacing w:after="160" w:before="240"/>
      </w:pPr>
      <w:r>
        <w:rPr>
          <w:b/>
          <w:bCs/>
          <w:color w:val="1F3864"/>
        </w:rPr>
        <w:t xml:space="preserve">9. Proposed Solution</w:t>
      </w:r>
    </w:p>
    <w:p>
      <w:pPr>
        <w:spacing w:after="160" w:line="300"/>
        <w:jc w:val="both"/>
      </w:pPr>
      <w:r>
        <w:t xml:space="preserve">EventFlow AI addresses these challenges with a single, unified platform covering the entire event lifecycle: organization and academic-year setup, house and student management, festival and event configuration, online registration, automated scheduling, digital judging with real-time score aggregation, automatic result computation, certificate generation, and analytics-driven reporting — all governed by role-based access control and a complete audit trail.</w:t>
      </w:r>
    </w:p>
    <w:p>
      <w:pPr>
        <w:spacing w:after="160" w:line="300"/>
        <w:jc w:val="both"/>
      </w:pPr>
      <w:r>
        <w:t xml:space="preserve">An AI layer is embedded across these modules rather than offered as a separate feature. Registration submissions are validated automatically for completeness and eligibility. Scheduling conflicts are detected and resolved with AI assistance. Results are analyzed for anomalies before publication. Certificates are checked for authenticity. Administrators can query the system in natural language to retrieve status updates, generate announcements, or request summaries, without navigating multiple screens.</w:t>
      </w:r>
    </w:p>
    <w:p>
      <w:pPr>
        <w:pStyle w:val="Heading3"/>
        <w:spacing w:after="100" w:before="160"/>
      </w:pPr>
      <w:r>
        <w:rPr>
          <w:b/>
          <w:bCs/>
          <w:color w:val="595959"/>
        </w:rPr>
        <w:t xml:space="preserve">Solution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color="auto" w:val="clear"/>
            <w:tcMar>
              <w:top w:type="dxa" w:w="80"/>
              <w:left w:type="dxa" w:w="120"/>
              <w:bottom w:type="dxa" w:w="80"/>
              <w:right w:type="dxa" w:w="120"/>
            </w:tcMar>
            <w:vAlign w:val="center"/>
          </w:tcPr>
          <w:p>
            <w:pPr>
              <w:jc w:val="left"/>
            </w:pPr>
            <w:r>
              <w:rPr>
                <w:b/>
                <w:bCs/>
                <w:color w:val="FFFFFF"/>
              </w:rPr>
              <w:t xml:space="preserve">Problem</w:t>
            </w:r>
          </w:p>
        </w:tc>
        <w:tc>
          <w:tcPr>
            <w:tcW w:type="dxa" w:w="5900"/>
            <w:shd w:fill="1F3864" w:color="auto" w:val="clear"/>
            <w:tcMar>
              <w:top w:type="dxa" w:w="80"/>
              <w:left w:type="dxa" w:w="120"/>
              <w:bottom w:type="dxa" w:w="80"/>
              <w:right w:type="dxa" w:w="120"/>
            </w:tcMar>
            <w:vAlign w:val="center"/>
          </w:tcPr>
          <w:p>
            <w:pPr>
              <w:jc w:val="left"/>
            </w:pPr>
            <w:r>
              <w:rPr>
                <w:b/>
                <w:bCs/>
                <w:color w:val="FFFFFF"/>
              </w:rPr>
              <w:t xml:space="preserve">EventFlow AI Capability</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Manual registration</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Online, validated, self-service registration with an AI Registration Validation Agent</w:t>
            </w:r>
          </w:p>
        </w:tc>
      </w:tr>
      <w:tr>
        <w:tc>
          <w:tcPr>
            <w:tcW w:type="dxa" w:w="3600"/>
            <w:shd w:fill="F2F2F2" w:color="auto" w:val="clear"/>
            <w:tcMar>
              <w:top w:type="dxa" w:w="80"/>
              <w:left w:type="dxa" w:w="120"/>
              <w:bottom w:type="dxa" w:w="80"/>
              <w:right w:type="dxa" w:w="120"/>
            </w:tcMar>
            <w:vAlign w:val="center"/>
          </w:tcPr>
          <w:p>
            <w:pPr>
              <w:jc w:val="left"/>
            </w:pPr>
            <w:r>
              <w:rPr>
                <w:b w:val="false"/>
                <w:bCs w:val="false"/>
                <w:color w:val="000000"/>
              </w:rPr>
              <w:t xml:space="preserve">Scheduling conflicts</w:t>
            </w:r>
          </w:p>
        </w:tc>
        <w:tc>
          <w:tcPr>
            <w:tcW w:type="dxa" w:w="5900"/>
            <w:shd w:fill="F2F2F2" w:color="auto" w:val="clear"/>
            <w:tcMar>
              <w:top w:type="dxa" w:w="80"/>
              <w:left w:type="dxa" w:w="120"/>
              <w:bottom w:type="dxa" w:w="80"/>
              <w:right w:type="dxa" w:w="120"/>
            </w:tcMar>
            <w:vAlign w:val="center"/>
          </w:tcPr>
          <w:p>
            <w:pPr>
              <w:jc w:val="left"/>
            </w:pPr>
            <w:r>
              <w:rPr>
                <w:b w:val="false"/>
                <w:bCs w:val="false"/>
                <w:color w:val="000000"/>
              </w:rPr>
              <w:t xml:space="preserve">AI Event Scheduling Assistant with automatic conflict detection</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Judging errors and disputes</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Digital judging module with real-time aggregation and a Result Analysis Agent</w:t>
            </w:r>
          </w:p>
        </w:tc>
      </w:tr>
      <w:tr>
        <w:tc>
          <w:tcPr>
            <w:tcW w:type="dxa" w:w="3600"/>
            <w:shd w:fill="F2F2F2" w:color="auto" w:val="clear"/>
            <w:tcMar>
              <w:top w:type="dxa" w:w="80"/>
              <w:left w:type="dxa" w:w="120"/>
              <w:bottom w:type="dxa" w:w="80"/>
              <w:right w:type="dxa" w:w="120"/>
            </w:tcMar>
            <w:vAlign w:val="center"/>
          </w:tcPr>
          <w:p>
            <w:pPr>
              <w:jc w:val="left"/>
            </w:pPr>
            <w:r>
              <w:rPr>
                <w:b w:val="false"/>
                <w:bCs w:val="false"/>
                <w:color w:val="000000"/>
              </w:rPr>
              <w:t xml:space="preserve">Fragmented communication</w:t>
            </w:r>
          </w:p>
        </w:tc>
        <w:tc>
          <w:tcPr>
            <w:tcW w:type="dxa" w:w="5900"/>
            <w:shd w:fill="F2F2F2" w:color="auto" w:val="clear"/>
            <w:tcMar>
              <w:top w:type="dxa" w:w="80"/>
              <w:left w:type="dxa" w:w="120"/>
              <w:bottom w:type="dxa" w:w="80"/>
              <w:right w:type="dxa" w:w="120"/>
            </w:tcMar>
            <w:vAlign w:val="center"/>
          </w:tcPr>
          <w:p>
            <w:pPr>
              <w:jc w:val="left"/>
            </w:pPr>
            <w:r>
              <w:rPr>
                <w:b w:val="false"/>
                <w:bCs w:val="false"/>
                <w:color w:val="000000"/>
              </w:rPr>
              <w:t xml:space="preserve">Centralized notifications and an AI Announcement Generator</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Slow certificate issuance</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Automated certificate generation with a Certificate Verification Agent</w:t>
            </w:r>
          </w:p>
        </w:tc>
      </w:tr>
      <w:tr>
        <w:tc>
          <w:tcPr>
            <w:tcW w:type="dxa" w:w="3600"/>
            <w:shd w:fill="F2F2F2" w:color="auto" w:val="clear"/>
            <w:tcMar>
              <w:top w:type="dxa" w:w="80"/>
              <w:left w:type="dxa" w:w="120"/>
              <w:bottom w:type="dxa" w:w="80"/>
              <w:right w:type="dxa" w:w="120"/>
            </w:tcMar>
            <w:vAlign w:val="center"/>
          </w:tcPr>
          <w:p>
            <w:pPr>
              <w:jc w:val="left"/>
            </w:pPr>
            <w:r>
              <w:rPr>
                <w:b w:val="false"/>
                <w:bCs w:val="false"/>
                <w:color w:val="000000"/>
              </w:rPr>
              <w:t xml:space="preserve">Lack of real-time visibility</w:t>
            </w:r>
          </w:p>
        </w:tc>
        <w:tc>
          <w:tcPr>
            <w:tcW w:type="dxa" w:w="5900"/>
            <w:shd w:fill="F2F2F2" w:color="auto" w:val="clear"/>
            <w:tcMar>
              <w:top w:type="dxa" w:w="80"/>
              <w:left w:type="dxa" w:w="120"/>
              <w:bottom w:type="dxa" w:w="80"/>
              <w:right w:type="dxa" w:w="120"/>
            </w:tcMar>
            <w:vAlign w:val="center"/>
          </w:tcPr>
          <w:p>
            <w:pPr>
              <w:jc w:val="left"/>
            </w:pPr>
            <w:r>
              <w:rPr>
                <w:b w:val="false"/>
                <w:bCs w:val="false"/>
                <w:color w:val="000000"/>
              </w:rPr>
              <w:t xml:space="preserve">Live dashboards and analytics for administrators and leadership</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No institutional memory</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Multi-year data retention with cross-year analytics</w:t>
            </w:r>
          </w:p>
        </w:tc>
      </w:tr>
    </w:tbl>
    <w:p>
      <w:pPr>
        <w:pStyle w:val="Heading1"/>
        <w:pageBreakBefore/>
        <w:spacing w:after="160" w:before="240"/>
      </w:pPr>
      <w:r>
        <w:rPr>
          <w:b/>
          <w:bCs/>
          <w:color w:val="1F3864"/>
        </w:rPr>
        <w:t xml:space="preserve">10. Business Objectives</w:t>
      </w:r>
    </w:p>
    <w:p>
      <w:pPr>
        <w:pStyle w:val="ListParagraph"/>
        <w:numPr>
          <w:ilvl w:val="0"/>
          <w:numId w:val="2"/>
        </w:numPr>
        <w:spacing w:after="90"/>
      </w:pPr>
      <w:r>
        <w:t xml:space="preserve">Establish EventFlow AI as a commercially viable, subscription-based SaaS product within its first eighteen months of operation.</w:t>
      </w:r>
    </w:p>
    <w:p>
      <w:pPr>
        <w:pStyle w:val="ListParagraph"/>
        <w:numPr>
          <w:ilvl w:val="0"/>
          <w:numId w:val="2"/>
        </w:numPr>
        <w:spacing w:after="90"/>
      </w:pPr>
      <w:r>
        <w:t xml:space="preserve">Achieve successful pilot deployment with an initial institutional customer and convert the pilot into a referenceable case study.</w:t>
      </w:r>
    </w:p>
    <w:p>
      <w:pPr>
        <w:pStyle w:val="ListParagraph"/>
        <w:numPr>
          <w:ilvl w:val="0"/>
          <w:numId w:val="2"/>
        </w:numPr>
        <w:spacing w:after="90"/>
      </w:pPr>
      <w:r>
        <w:t xml:space="preserve">Build a repeatable onboarding process that allows a new institution to be fully configured and live within a single week.</w:t>
      </w:r>
    </w:p>
    <w:p>
      <w:pPr>
        <w:pStyle w:val="ListParagraph"/>
        <w:numPr>
          <w:ilvl w:val="0"/>
          <w:numId w:val="2"/>
        </w:numPr>
        <w:spacing w:after="90"/>
      </w:pPr>
      <w:r>
        <w:t xml:space="preserve">Reach profitability on a per-tenant basis through efficient multi-tenant infrastructure rather than per-customer bespoke development.</w:t>
      </w:r>
    </w:p>
    <w:p>
      <w:pPr>
        <w:pStyle w:val="ListParagraph"/>
        <w:numPr>
          <w:ilvl w:val="0"/>
          <w:numId w:val="2"/>
        </w:numPr>
        <w:spacing w:after="90"/>
      </w:pPr>
      <w:r>
        <w:t xml:space="preserve">Expand from schools into colleges, universities, and adjacent verticals (NGOs, government bodies, corporate event teams) within three years.</w:t>
      </w:r>
    </w:p>
    <w:p>
      <w:pPr>
        <w:pStyle w:val="ListParagraph"/>
        <w:numPr>
          <w:ilvl w:val="0"/>
          <w:numId w:val="2"/>
        </w:numPr>
        <w:spacing w:after="90"/>
      </w:pPr>
      <w:r>
        <w:t xml:space="preserve">Build a defensible AI advantage — proprietary prompt architectures, agent workflows, and accumulated event data — that is difficult for generic form-builder competitors to replicate.</w:t>
      </w:r>
    </w:p>
    <w:p>
      <w:pPr>
        <w:pStyle w:val="Heading1"/>
        <w:pageBreakBefore/>
        <w:spacing w:after="160" w:before="240"/>
      </w:pPr>
      <w:r>
        <w:rPr>
          <w:b/>
          <w:bCs/>
          <w:color w:val="1F3864"/>
        </w:rPr>
        <w:t xml:space="preserve">11. Product Objectives</w:t>
      </w:r>
    </w:p>
    <w:p>
      <w:pPr>
        <w:pStyle w:val="ListParagraph"/>
        <w:numPr>
          <w:ilvl w:val="0"/>
          <w:numId w:val="2"/>
        </w:numPr>
        <w:spacing w:after="90"/>
      </w:pPr>
      <w:r>
        <w:t xml:space="preserve">Deliver a single platform capable of managing organizations, academic years, houses, students, teachers, festivals, events, registrations, judging, results, certificates, and reports.</w:t>
      </w:r>
    </w:p>
    <w:p>
      <w:pPr>
        <w:pStyle w:val="ListParagraph"/>
        <w:numPr>
          <w:ilvl w:val="0"/>
          <w:numId w:val="2"/>
        </w:numPr>
        <w:spacing w:after="90"/>
      </w:pPr>
      <w:r>
        <w:t xml:space="preserve">Provide role-based dashboards tailored to Super Admins, Organization Admins, Event Coordinators, Judges, Teachers, and Students.</w:t>
      </w:r>
    </w:p>
    <w:p>
      <w:pPr>
        <w:pStyle w:val="ListParagraph"/>
        <w:numPr>
          <w:ilvl w:val="0"/>
          <w:numId w:val="2"/>
        </w:numPr>
        <w:spacing w:after="90"/>
      </w:pPr>
      <w:r>
        <w:t xml:space="preserve">Embed AI assistance at each stage of the workflow where it measurably reduces administrative effort or improves decision quality.</w:t>
      </w:r>
    </w:p>
    <w:p>
      <w:pPr>
        <w:pStyle w:val="ListParagraph"/>
        <w:numPr>
          <w:ilvl w:val="0"/>
          <w:numId w:val="2"/>
        </w:numPr>
        <w:spacing w:after="90"/>
      </w:pPr>
      <w:r>
        <w:t xml:space="preserve">Guarantee data integrity and traceability through comprehensive audit logging across every module.</w:t>
      </w:r>
    </w:p>
    <w:p>
      <w:pPr>
        <w:pStyle w:val="ListParagraph"/>
        <w:numPr>
          <w:ilvl w:val="0"/>
          <w:numId w:val="2"/>
        </w:numPr>
        <w:spacing w:after="90"/>
      </w:pPr>
      <w:r>
        <w:t xml:space="preserve">Support configuration-driven customization (branding, event categories, scoring rubrics) so that a single codebase serves diverse institutions without forking.</w:t>
      </w:r>
    </w:p>
    <w:p>
      <w:pPr>
        <w:pStyle w:val="ListParagraph"/>
        <w:numPr>
          <w:ilvl w:val="0"/>
          <w:numId w:val="2"/>
        </w:numPr>
        <w:spacing w:after="90"/>
      </w:pPr>
      <w:r>
        <w:t xml:space="preserve">Ensure the platform performs reliably during peak concurrent load, such as live result entry during a multi-day festival.</w:t>
      </w:r>
    </w:p>
    <w:p>
      <w:pPr>
        <w:pStyle w:val="Heading1"/>
        <w:pageBreakBefore/>
        <w:spacing w:after="160" w:before="240"/>
      </w:pPr>
      <w:r>
        <w:rPr>
          <w:b/>
          <w:bCs/>
          <w:color w:val="1F3864"/>
        </w:rPr>
        <w:t xml:space="preserve">12. Target Market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200"/>
      </w:tblGrid>
      <w:tr>
        <w:trPr>
          <w:tblHeader/>
        </w:trPr>
        <w:tc>
          <w:tcPr>
            <w:tcW w:type="dxa" w:w="1400"/>
            <w:shd w:fill="1F3864" w:color="auto" w:val="clear"/>
            <w:tcMar>
              <w:top w:type="dxa" w:w="80"/>
              <w:left w:type="dxa" w:w="120"/>
              <w:bottom w:type="dxa" w:w="80"/>
              <w:right w:type="dxa" w:w="120"/>
            </w:tcMar>
            <w:vAlign w:val="center"/>
          </w:tcPr>
          <w:p>
            <w:pPr>
              <w:jc w:val="left"/>
            </w:pPr>
            <w:r>
              <w:rPr>
                <w:b/>
                <w:bCs/>
                <w:color w:val="FFFFFF"/>
              </w:rPr>
              <w:t xml:space="preserve">Tier</w:t>
            </w:r>
          </w:p>
        </w:tc>
        <w:tc>
          <w:tcPr>
            <w:tcW w:type="dxa" w:w="2600"/>
            <w:shd w:fill="1F3864" w:color="auto" w:val="clear"/>
            <w:tcMar>
              <w:top w:type="dxa" w:w="80"/>
              <w:left w:type="dxa" w:w="120"/>
              <w:bottom w:type="dxa" w:w="80"/>
              <w:right w:type="dxa" w:w="120"/>
            </w:tcMar>
            <w:vAlign w:val="center"/>
          </w:tcPr>
          <w:p>
            <w:pPr>
              <w:jc w:val="left"/>
            </w:pPr>
            <w:r>
              <w:rPr>
                <w:b/>
                <w:bCs/>
                <w:color w:val="FFFFFF"/>
              </w:rPr>
              <w:t xml:space="preserve">Segment</w:t>
            </w:r>
          </w:p>
        </w:tc>
        <w:tc>
          <w:tcPr>
            <w:tcW w:type="dxa" w:w="5200"/>
            <w:shd w:fill="1F3864" w:color="auto" w:val="clear"/>
            <w:tcMar>
              <w:top w:type="dxa" w:w="80"/>
              <w:left w:type="dxa" w:w="120"/>
              <w:bottom w:type="dxa" w:w="80"/>
              <w:right w:type="dxa" w:w="120"/>
            </w:tcMar>
            <w:vAlign w:val="center"/>
          </w:tcPr>
          <w:p>
            <w:pPr>
              <w:jc w:val="left"/>
            </w:pPr>
            <w:r>
              <w:rPr>
                <w:b/>
                <w:bCs/>
                <w:color w:val="FFFFFF"/>
              </w:rPr>
              <w:t xml:space="preserve">Rationale</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Primary</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Schools (K-12)</w:t>
            </w:r>
          </w:p>
        </w:tc>
        <w:tc>
          <w:tcPr>
            <w:tcW w:type="dxa" w:w="5200"/>
            <w:shd w:fill="FFFFFF" w:color="auto" w:val="clear"/>
            <w:tcMar>
              <w:top w:type="dxa" w:w="80"/>
              <w:left w:type="dxa" w:w="120"/>
              <w:bottom w:type="dxa" w:w="80"/>
              <w:right w:type="dxa" w:w="120"/>
            </w:tcMar>
            <w:vAlign w:val="center"/>
          </w:tcPr>
          <w:p>
            <w:pPr>
              <w:jc w:val="left"/>
            </w:pPr>
            <w:r>
              <w:rPr>
                <w:b w:val="false"/>
                <w:bCs w:val="false"/>
                <w:color w:val="000000"/>
              </w:rPr>
              <w:t xml:space="preserve">Highest frequency of inter-house festivals and competitions; clear pain point; fastest sales cycle</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rPr>
              <w:t xml:space="preserve">Secondary</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Colleges</w:t>
            </w:r>
          </w:p>
        </w:tc>
        <w:tc>
          <w:tcPr>
            <w:tcW w:type="dxa" w:w="5200"/>
            <w:shd w:fill="F2F2F2" w:color="auto" w:val="clear"/>
            <w:tcMar>
              <w:top w:type="dxa" w:w="80"/>
              <w:left w:type="dxa" w:w="120"/>
              <w:bottom w:type="dxa" w:w="80"/>
              <w:right w:type="dxa" w:w="120"/>
            </w:tcMar>
            <w:vAlign w:val="center"/>
          </w:tcPr>
          <w:p>
            <w:pPr>
              <w:jc w:val="left"/>
            </w:pPr>
            <w:r>
              <w:rPr>
                <w:b w:val="false"/>
                <w:bCs w:val="false"/>
                <w:color w:val="000000"/>
              </w:rPr>
              <w:t xml:space="preserve">Larger, multi-day fests with higher participant volume and more complex judging needs</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Future</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Universities</w:t>
            </w:r>
          </w:p>
        </w:tc>
        <w:tc>
          <w:tcPr>
            <w:tcW w:type="dxa" w:w="5200"/>
            <w:shd w:fill="FFFFFF" w:color="auto" w:val="clear"/>
            <w:tcMar>
              <w:top w:type="dxa" w:w="80"/>
              <w:left w:type="dxa" w:w="120"/>
              <w:bottom w:type="dxa" w:w="80"/>
              <w:right w:type="dxa" w:w="120"/>
            </w:tcMar>
            <w:vAlign w:val="center"/>
          </w:tcPr>
          <w:p>
            <w:pPr>
              <w:jc w:val="left"/>
            </w:pPr>
            <w:r>
              <w:rPr>
                <w:b w:val="false"/>
                <w:bCs w:val="false"/>
                <w:color w:val="000000"/>
              </w:rPr>
              <w:t xml:space="preserve">Multi-department, multi-campus events requiring advanced scheduling and analytics</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rPr>
              <w:t xml:space="preserve">Future</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NGOs</w:t>
            </w:r>
          </w:p>
        </w:tc>
        <w:tc>
          <w:tcPr>
            <w:tcW w:type="dxa" w:w="5200"/>
            <w:shd w:fill="F2F2F2" w:color="auto" w:val="clear"/>
            <w:tcMar>
              <w:top w:type="dxa" w:w="80"/>
              <w:left w:type="dxa" w:w="120"/>
              <w:bottom w:type="dxa" w:w="80"/>
              <w:right w:type="dxa" w:w="120"/>
            </w:tcMar>
            <w:vAlign w:val="center"/>
          </w:tcPr>
          <w:p>
            <w:pPr>
              <w:jc w:val="left"/>
            </w:pPr>
            <w:r>
              <w:rPr>
                <w:b w:val="false"/>
                <w:bCs w:val="false"/>
                <w:color w:val="000000"/>
              </w:rPr>
              <w:t xml:space="preserve">Community and awareness events requiring registration and reporting at scale</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Future</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Government Institutions</w:t>
            </w:r>
          </w:p>
        </w:tc>
        <w:tc>
          <w:tcPr>
            <w:tcW w:type="dxa" w:w="5200"/>
            <w:shd w:fill="FFFFFF" w:color="auto" w:val="clear"/>
            <w:tcMar>
              <w:top w:type="dxa" w:w="80"/>
              <w:left w:type="dxa" w:w="120"/>
              <w:bottom w:type="dxa" w:w="80"/>
              <w:right w:type="dxa" w:w="120"/>
            </w:tcMar>
            <w:vAlign w:val="center"/>
          </w:tcPr>
          <w:p>
            <w:pPr>
              <w:jc w:val="left"/>
            </w:pPr>
            <w:r>
              <w:rPr>
                <w:b w:val="false"/>
                <w:bCs w:val="false"/>
                <w:color w:val="000000"/>
              </w:rPr>
              <w:t xml:space="preserve">Public competitions and ceremonies requiring auditability and compliance</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rPr>
              <w:t xml:space="preserve">Future</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Corporate Organizations</w:t>
            </w:r>
          </w:p>
        </w:tc>
        <w:tc>
          <w:tcPr>
            <w:tcW w:type="dxa" w:w="5200"/>
            <w:shd w:fill="F2F2F2" w:color="auto" w:val="clear"/>
            <w:tcMar>
              <w:top w:type="dxa" w:w="80"/>
              <w:left w:type="dxa" w:w="120"/>
              <w:bottom w:type="dxa" w:w="80"/>
              <w:right w:type="dxa" w:w="120"/>
            </w:tcMar>
            <w:vAlign w:val="center"/>
          </w:tcPr>
          <w:p>
            <w:pPr>
              <w:jc w:val="left"/>
            </w:pPr>
            <w:r>
              <w:rPr>
                <w:b w:val="false"/>
                <w:bCs w:val="false"/>
                <w:color w:val="000000"/>
              </w:rPr>
              <w:t xml:space="preserve">Internal talent shows, hackathons, and recognition events</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Future</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Event Management Companies</w:t>
            </w:r>
          </w:p>
        </w:tc>
        <w:tc>
          <w:tcPr>
            <w:tcW w:type="dxa" w:w="5200"/>
            <w:shd w:fill="FFFFFF" w:color="auto" w:val="clear"/>
            <w:tcMar>
              <w:top w:type="dxa" w:w="80"/>
              <w:left w:type="dxa" w:w="120"/>
              <w:bottom w:type="dxa" w:w="80"/>
              <w:right w:type="dxa" w:w="120"/>
            </w:tcMar>
            <w:vAlign w:val="center"/>
          </w:tcPr>
          <w:p>
            <w:pPr>
              <w:jc w:val="left"/>
            </w:pPr>
            <w:r>
              <w:rPr>
                <w:b w:val="false"/>
                <w:bCs w:val="false"/>
                <w:color w:val="000000"/>
              </w:rPr>
              <w:t xml:space="preserve">White-label use of the platform for client-run festivals and competitions</w:t>
            </w:r>
          </w:p>
        </w:tc>
      </w:tr>
    </w:tbl>
    <w:p>
      <w:pPr>
        <w:spacing w:after="160" w:line="300"/>
        <w:jc w:val="both"/>
      </w:pPr>
      <w:r>
        <w:t xml:space="preserve">The go-to-market sequencing prioritizes schools because the underlying workflow — houses, students, inter-house competitions, judging, and certificates — is the most standardized across institutions, allowing a single configurable data model to serve the widest possible first-tier market with minimal customization.</w:t>
      </w:r>
    </w:p>
    <w:p>
      <w:pPr>
        <w:pStyle w:val="Heading1"/>
        <w:pageBreakBefore/>
        <w:spacing w:after="160" w:before="240"/>
      </w:pPr>
      <w:r>
        <w:rPr>
          <w:b/>
          <w:bCs/>
          <w:color w:val="1F3864"/>
        </w:rPr>
        <w:t xml:space="preserve">13. User Personas</w:t>
      </w:r>
    </w:p>
    <w:p>
      <w:pPr>
        <w:pStyle w:val="Heading3"/>
        <w:spacing w:after="100" w:before="160"/>
      </w:pPr>
      <w:r>
        <w:rPr>
          <w:b/>
          <w:bCs/>
          <w:color w:val="595959"/>
        </w:rPr>
        <w:t xml:space="preserve">Persona 1 — Organization Administrator (“Priya”)</w:t>
      </w:r>
    </w:p>
    <w:p>
      <w:pPr>
        <w:spacing w:after="160" w:line="300"/>
        <w:jc w:val="both"/>
      </w:pPr>
      <w:r>
        <w:t xml:space="preserve">Priya is a vice-principal or IT coordinator responsible for the overall success of the institution's annual festival. She needs a single dashboard showing registration status, event schedules, and judging progress across the entire event, and she needs to trust that results published to parents and students are accurate.</w:t>
      </w:r>
    </w:p>
    <w:p>
      <w:pPr>
        <w:pStyle w:val="Heading3"/>
        <w:spacing w:after="100" w:before="160"/>
      </w:pPr>
      <w:r>
        <w:rPr>
          <w:b/>
          <w:bCs/>
          <w:color w:val="595959"/>
        </w:rPr>
        <w:t xml:space="preserve">Persona 2 — Event Coordinator (“Arjun”)</w:t>
      </w:r>
    </w:p>
    <w:p>
      <w:pPr>
        <w:spacing w:after="160" w:line="300"/>
        <w:jc w:val="both"/>
      </w:pPr>
      <w:r>
        <w:t xml:space="preserve">Arjun manages the day-to-day logistics of a specific festival: creating events, assigning venues and time slots, and resolving last-minute changes. He needs fast, low-friction tools for scheduling and rapid conflict resolution during the event itself.</w:t>
      </w:r>
    </w:p>
    <w:p>
      <w:pPr>
        <w:pStyle w:val="Heading3"/>
        <w:spacing w:after="100" w:before="160"/>
      </w:pPr>
      <w:r>
        <w:rPr>
          <w:b/>
          <w:bCs/>
          <w:color w:val="595959"/>
        </w:rPr>
        <w:t xml:space="preserve">Persona 3 — Judge (“Meera”)</w:t>
      </w:r>
    </w:p>
    <w:p>
      <w:pPr>
        <w:spacing w:after="160" w:line="300"/>
        <w:jc w:val="both"/>
      </w:pPr>
      <w:r>
        <w:t xml:space="preserve">Meera scores participants during live events. She needs a simple, mobile-friendly scoring interface that works reliably even with intermittent connectivity, and that removes the need for paper scoresheets and manual tallying.</w:t>
      </w:r>
    </w:p>
    <w:p>
      <w:pPr>
        <w:pStyle w:val="Heading3"/>
        <w:spacing w:after="100" w:before="160"/>
      </w:pPr>
      <w:r>
        <w:rPr>
          <w:b/>
          <w:bCs/>
          <w:color w:val="595959"/>
        </w:rPr>
        <w:t xml:space="preserve">Persona 4 — Teacher / House Coordinator (“Thomas”)</w:t>
      </w:r>
    </w:p>
    <w:p>
      <w:pPr>
        <w:spacing w:after="160" w:line="300"/>
        <w:jc w:val="both"/>
      </w:pPr>
      <w:r>
        <w:t xml:space="preserve">Thomas manages a house's roster of students and their event registrations. He needs to register students quickly, track his house's standing in real time, and receive timely notifications about schedule changes.</w:t>
      </w:r>
    </w:p>
    <w:p>
      <w:pPr>
        <w:pStyle w:val="Heading3"/>
        <w:spacing w:after="100" w:before="160"/>
      </w:pPr>
      <w:r>
        <w:rPr>
          <w:b/>
          <w:bCs/>
          <w:color w:val="595959"/>
        </w:rPr>
        <w:t xml:space="preserve">Persona 5 — Student Participant (“Aisha”)</w:t>
      </w:r>
    </w:p>
    <w:p>
      <w:pPr>
        <w:spacing w:after="160" w:line="300"/>
        <w:jc w:val="both"/>
      </w:pPr>
      <w:r>
        <w:t xml:space="preserve">Aisha registers for events, checks her schedule, and views her results and certificates. She needs a simple, mobile-accessible interface with clear, timely status updates.</w:t>
      </w:r>
    </w:p>
    <w:p>
      <w:pPr>
        <w:pStyle w:val="Heading1"/>
        <w:pageBreakBefore/>
        <w:spacing w:after="160" w:before="240"/>
      </w:pPr>
      <w:r>
        <w:rPr>
          <w:b/>
          <w:bCs/>
          <w:color w:val="1F3864"/>
        </w:rPr>
        <w:t xml:space="preserve">14.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Stakeholder</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Interest / Role</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Founders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Overall product direction, commercial strategy, and fundraising</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Engineering Leadership</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Technical architecture, delivery quality, and platform scalability</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Institutional Administrators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Day-to-day product usage and configuration for their organization</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Judges and Teachers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Front-line users of registration, judging, and reporting tools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Students and Parents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End beneficiaries of transparent results and timely communication</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Investors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Commercial viability, market size, and defensibility of the AI-driven approach</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Future Enterprise Clients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Colleges, universities, NGOs, and government bodies evaluating adoption</w:t>
            </w:r>
          </w:p>
        </w:tc>
      </w:tr>
    </w:tbl>
    <w:p>
      <w:pPr>
        <w:pStyle w:val="Heading1"/>
        <w:pageBreakBefore/>
        <w:spacing w:after="160" w:before="240"/>
      </w:pPr>
      <w:r>
        <w:rPr>
          <w:b/>
          <w:bCs/>
          <w:color w:val="1F3864"/>
        </w:rPr>
        <w:t xml:space="preserve">15. Business Value Proposition</w:t>
      </w:r>
    </w:p>
    <w:p>
      <w:pPr>
        <w:pStyle w:val="ListParagraph"/>
        <w:numPr>
          <w:ilvl w:val="0"/>
          <w:numId w:val="2"/>
        </w:numPr>
        <w:spacing w:after="90"/>
      </w:pPr>
      <w:r>
        <w:t xml:space="preserve">Time savings: Automating registration, scheduling, and result computation reduces administrative hours from days to hours per festival.</w:t>
      </w:r>
    </w:p>
    <w:p>
      <w:pPr>
        <w:pStyle w:val="ListParagraph"/>
        <w:numPr>
          <w:ilvl w:val="0"/>
          <w:numId w:val="2"/>
        </w:numPr>
        <w:spacing w:after="90"/>
      </w:pPr>
      <w:r>
        <w:t xml:space="preserve">Accuracy and trust: Digital judging with automated aggregation removes calculation errors and reduces disputes over results.</w:t>
      </w:r>
    </w:p>
    <w:p>
      <w:pPr>
        <w:pStyle w:val="ListParagraph"/>
        <w:numPr>
          <w:ilvl w:val="0"/>
          <w:numId w:val="2"/>
        </w:numPr>
        <w:spacing w:after="90"/>
      </w:pPr>
      <w:r>
        <w:t xml:space="preserve">Transparency: Real-time dashboards give leadership and stakeholders continuous visibility instead of post-event summaries.</w:t>
      </w:r>
    </w:p>
    <w:p>
      <w:pPr>
        <w:pStyle w:val="ListParagraph"/>
        <w:numPr>
          <w:ilvl w:val="0"/>
          <w:numId w:val="2"/>
        </w:numPr>
        <w:spacing w:after="90"/>
      </w:pPr>
      <w:r>
        <w:t xml:space="preserve">Institutional memory: Multi-year data retention enables year-over-year comparison and long-term planning.</w:t>
      </w:r>
    </w:p>
    <w:p>
      <w:pPr>
        <w:pStyle w:val="ListParagraph"/>
        <w:numPr>
          <w:ilvl w:val="0"/>
          <w:numId w:val="2"/>
        </w:numPr>
        <w:spacing w:after="90"/>
      </w:pPr>
      <w:r>
        <w:t xml:space="preserve">Lower total cost of ownership: A single multi-tenant platform is cheaper to operate and maintain than bespoke, per-institution tools.</w:t>
      </w:r>
    </w:p>
    <w:p>
      <w:pPr>
        <w:pStyle w:val="ListParagraph"/>
        <w:numPr>
          <w:ilvl w:val="0"/>
          <w:numId w:val="2"/>
        </w:numPr>
        <w:spacing w:after="90"/>
      </w:pPr>
      <w:r>
        <w:t xml:space="preserve">AI-driven differentiation: Native AI agents create a product experience that generic spreadsheet or form-builder tools cannot match.</w:t>
      </w:r>
    </w:p>
    <w:p>
      <w:pPr>
        <w:pStyle w:val="Heading1"/>
        <w:pageBreakBefore/>
        <w:spacing w:after="160" w:before="240"/>
      </w:pPr>
      <w:r>
        <w:rPr>
          <w:b/>
          <w:bCs/>
          <w:color w:val="1F3864"/>
        </w:rPr>
        <w:t xml:space="preserve">16. Competitive Advantages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7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Dimension</w:t>
            </w:r>
          </w:p>
        </w:tc>
        <w:tc>
          <w:tcPr>
            <w:tcW w:type="dxa" w:w="2100"/>
            <w:shd w:fill="1F3864" w:color="auto" w:val="clear"/>
            <w:tcMar>
              <w:top w:type="dxa" w:w="80"/>
              <w:left w:type="dxa" w:w="120"/>
              <w:bottom w:type="dxa" w:w="80"/>
              <w:right w:type="dxa" w:w="120"/>
            </w:tcMar>
            <w:vAlign w:val="center"/>
          </w:tcPr>
          <w:p>
            <w:pPr>
              <w:jc w:val="left"/>
            </w:pPr>
            <w:r>
              <w:rPr>
                <w:b/>
                <w:bCs/>
                <w:color w:val="FFFFFF"/>
              </w:rPr>
              <w:t xml:space="preserve">Generic Form / Spreadsheet Tools</w:t>
            </w:r>
          </w:p>
        </w:tc>
        <w:tc>
          <w:tcPr>
            <w:tcW w:type="dxa" w:w="2100"/>
            <w:shd w:fill="1F3864" w:color="auto" w:val="clear"/>
            <w:tcMar>
              <w:top w:type="dxa" w:w="80"/>
              <w:left w:type="dxa" w:w="120"/>
              <w:bottom w:type="dxa" w:w="80"/>
              <w:right w:type="dxa" w:w="120"/>
            </w:tcMar>
            <w:vAlign w:val="center"/>
          </w:tcPr>
          <w:p>
            <w:pPr>
              <w:jc w:val="left"/>
            </w:pPr>
            <w:r>
              <w:rPr>
                <w:b/>
                <w:bCs/>
                <w:color w:val="FFFFFF"/>
              </w:rPr>
              <w:t xml:space="preserve">Generic Event Platforms</w:t>
            </w:r>
          </w:p>
        </w:tc>
        <w:tc>
          <w:tcPr>
            <w:tcW w:type="dxa" w:w="2700"/>
            <w:shd w:fill="1F3864" w:color="auto" w:val="clear"/>
            <w:tcMar>
              <w:top w:type="dxa" w:w="80"/>
              <w:left w:type="dxa" w:w="120"/>
              <w:bottom w:type="dxa" w:w="80"/>
              <w:right w:type="dxa" w:w="120"/>
            </w:tcMar>
            <w:vAlign w:val="center"/>
          </w:tcPr>
          <w:p>
            <w:pPr>
              <w:jc w:val="left"/>
            </w:pPr>
            <w:r>
              <w:rPr>
                <w:b/>
                <w:bCs/>
                <w:color w:val="FFFFFF"/>
              </w:rPr>
              <w:t xml:space="preserve">EventFlow AI</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Domain fit for school/college festivals</w:t>
            </w:r>
          </w:p>
        </w:tc>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Low — generic, requires heavy manual configuration</w:t>
            </w:r>
          </w:p>
        </w:tc>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Medium — built for corporate/ticketed events</w:t>
            </w:r>
          </w:p>
        </w:tc>
        <w:tc>
          <w:tcPr>
            <w:tcW w:type="dxa" w:w="2700"/>
            <w:shd w:fill="FFFFFF" w:color="auto" w:val="clear"/>
            <w:tcMar>
              <w:top w:type="dxa" w:w="80"/>
              <w:left w:type="dxa" w:w="120"/>
              <w:bottom w:type="dxa" w:w="80"/>
              <w:right w:type="dxa" w:w="120"/>
            </w:tcMar>
            <w:vAlign w:val="center"/>
          </w:tcPr>
          <w:p>
            <w:pPr>
              <w:jc w:val="left"/>
            </w:pPr>
            <w:r>
              <w:rPr>
                <w:b w:val="false"/>
                <w:bCs w:val="false"/>
                <w:color w:val="000000"/>
              </w:rPr>
              <w:t xml:space="preserve">High — purpose-built data model (houses, students, judging)</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AI-native workflows</w:t>
            </w:r>
          </w:p>
        </w:tc>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None</w:t>
            </w:r>
          </w:p>
        </w:tc>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Limited, bolt-on chatbots</w:t>
            </w:r>
          </w:p>
        </w:tc>
        <w:tc>
          <w:tcPr>
            <w:tcW w:type="dxa" w:w="2700"/>
            <w:shd w:fill="F2F2F2" w:color="auto" w:val="clear"/>
            <w:tcMar>
              <w:top w:type="dxa" w:w="80"/>
              <w:left w:type="dxa" w:w="120"/>
              <w:bottom w:type="dxa" w:w="80"/>
              <w:right w:type="dxa" w:w="120"/>
            </w:tcMar>
            <w:vAlign w:val="center"/>
          </w:tcPr>
          <w:p>
            <w:pPr>
              <w:jc w:val="left"/>
            </w:pPr>
            <w:r>
              <w:rPr>
                <w:b w:val="false"/>
                <w:bCs w:val="false"/>
                <w:color w:val="000000"/>
              </w:rPr>
              <w:t xml:space="preserve">Embedded AI agents across registration, scheduling, judging, and reporting</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Multi-tenant architecture</w:t>
            </w:r>
          </w:p>
        </w:tc>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N/A</w:t>
            </w:r>
          </w:p>
        </w:tc>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Varies</w:t>
            </w:r>
          </w:p>
        </w:tc>
        <w:tc>
          <w:tcPr>
            <w:tcW w:type="dxa" w:w="2700"/>
            <w:shd w:fill="FFFFFF" w:color="auto" w:val="clear"/>
            <w:tcMar>
              <w:top w:type="dxa" w:w="80"/>
              <w:left w:type="dxa" w:w="120"/>
              <w:bottom w:type="dxa" w:w="80"/>
              <w:right w:type="dxa" w:w="120"/>
            </w:tcMar>
            <w:vAlign w:val="center"/>
          </w:tcPr>
          <w:p>
            <w:pPr>
              <w:jc w:val="left"/>
            </w:pPr>
            <w:r>
              <w:rPr>
                <w:b w:val="false"/>
                <w:bCs w:val="false"/>
                <w:color w:val="000000"/>
              </w:rPr>
              <w:t xml:space="preserve">Designed from inception for multi-organization scale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Judging &amp; scoring support</w:t>
            </w:r>
          </w:p>
        </w:tc>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None</w:t>
            </w:r>
          </w:p>
        </w:tc>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Limited</w:t>
            </w:r>
          </w:p>
        </w:tc>
        <w:tc>
          <w:tcPr>
            <w:tcW w:type="dxa" w:w="2700"/>
            <w:shd w:fill="F2F2F2" w:color="auto" w:val="clear"/>
            <w:tcMar>
              <w:top w:type="dxa" w:w="80"/>
              <w:left w:type="dxa" w:w="120"/>
              <w:bottom w:type="dxa" w:w="80"/>
              <w:right w:type="dxa" w:w="120"/>
            </w:tcMar>
            <w:vAlign w:val="center"/>
          </w:tcPr>
          <w:p>
            <w:pPr>
              <w:jc w:val="left"/>
            </w:pPr>
            <w:r>
              <w:rPr>
                <w:b w:val="false"/>
                <w:bCs w:val="false"/>
                <w:color w:val="000000"/>
              </w:rPr>
              <w:t xml:space="preserve">Purpose-built digital judging with real-time aggregation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Auditability</w:t>
            </w:r>
          </w:p>
        </w:tc>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Minimal</w:t>
            </w:r>
          </w:p>
        </w:tc>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Varies</w:t>
            </w:r>
          </w:p>
        </w:tc>
        <w:tc>
          <w:tcPr>
            <w:tcW w:type="dxa" w:w="2700"/>
            <w:shd w:fill="FFFFFF" w:color="auto" w:val="clear"/>
            <w:tcMar>
              <w:top w:type="dxa" w:w="80"/>
              <w:left w:type="dxa" w:w="120"/>
              <w:bottom w:type="dxa" w:w="80"/>
              <w:right w:type="dxa" w:w="120"/>
            </w:tcMar>
            <w:vAlign w:val="center"/>
          </w:tcPr>
          <w:p>
            <w:pPr>
              <w:jc w:val="left"/>
            </w:pPr>
            <w:r>
              <w:rPr>
                <w:b w:val="false"/>
                <w:bCs w:val="false"/>
                <w:color w:val="000000"/>
              </w:rPr>
              <w:t xml:space="preserve">Full audit logs across every module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Cost of ownership</w:t>
            </w:r>
          </w:p>
        </w:tc>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Low upfront, high manual labor cost</w:t>
            </w:r>
          </w:p>
        </w:tc>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Medium, often per-event pricing</w:t>
            </w:r>
          </w:p>
        </w:tc>
        <w:tc>
          <w:tcPr>
            <w:tcW w:type="dxa" w:w="2700"/>
            <w:shd w:fill="F2F2F2" w:color="auto" w:val="clear"/>
            <w:tcMar>
              <w:top w:type="dxa" w:w="80"/>
              <w:left w:type="dxa" w:w="120"/>
              <w:bottom w:type="dxa" w:w="80"/>
              <w:right w:type="dxa" w:w="120"/>
            </w:tcMar>
            <w:vAlign w:val="center"/>
          </w:tcPr>
          <w:p>
            <w:pPr>
              <w:jc w:val="left"/>
            </w:pPr>
            <w:r>
              <w:rPr>
                <w:b w:val="false"/>
                <w:bCs w:val="false"/>
                <w:color w:val="000000"/>
              </w:rPr>
              <w:t xml:space="preserve">Subscription SaaS with automation reducing labor cost</w:t>
            </w:r>
          </w:p>
        </w:tc>
      </w:tr>
    </w:tbl>
    <w:p>
      <w:pPr>
        <w:pStyle w:val="Heading1"/>
        <w:pageBreakBefore/>
        <w:spacing w:after="160" w:before="240"/>
      </w:pPr>
      <w:r>
        <w:rPr>
          <w:b/>
          <w:bCs/>
          <w:color w:val="1F3864"/>
        </w:rPr>
        <w:t xml:space="preserve">17. Product Scope</w:t>
      </w:r>
    </w:p>
    <w:p>
      <w:pPr>
        <w:spacing w:after="160" w:line="300"/>
        <w:jc w:val="both"/>
      </w:pPr>
      <w:r>
        <w:t xml:space="preserve">The initial commercial scope of EventFlow AI covers the following core modules, delivered as a cohesive, multi-tenant SaaS platform:</w:t>
      </w:r>
    </w:p>
    <w:p>
      <w:pPr>
        <w:pStyle w:val="ListParagraph"/>
        <w:numPr>
          <w:ilvl w:val="0"/>
          <w:numId w:val="2"/>
        </w:numPr>
        <w:spacing w:after="90"/>
      </w:pPr>
      <w:r>
        <w:t xml:space="preserve">Authentication and Role-Based Access Control (RBAC)</w:t>
      </w:r>
    </w:p>
    <w:p>
      <w:pPr>
        <w:pStyle w:val="ListParagraph"/>
        <w:numPr>
          <w:ilvl w:val="0"/>
          <w:numId w:val="2"/>
        </w:numPr>
        <w:spacing w:after="90"/>
      </w:pPr>
      <w:r>
        <w:t xml:space="preserve">Organization Management and Academic Year configuration</w:t>
      </w:r>
    </w:p>
    <w:p>
      <w:pPr>
        <w:pStyle w:val="ListParagraph"/>
        <w:numPr>
          <w:ilvl w:val="0"/>
          <w:numId w:val="2"/>
        </w:numPr>
        <w:spacing w:after="90"/>
      </w:pPr>
      <w:r>
        <w:t xml:space="preserve">Festival Management and House Management</w:t>
      </w:r>
    </w:p>
    <w:p>
      <w:pPr>
        <w:pStyle w:val="ListParagraph"/>
        <w:numPr>
          <w:ilvl w:val="0"/>
          <w:numId w:val="2"/>
        </w:numPr>
        <w:spacing w:after="90"/>
      </w:pPr>
      <w:r>
        <w:t xml:space="preserve">Student, Teacher, and Team Management</w:t>
      </w:r>
    </w:p>
    <w:p>
      <w:pPr>
        <w:pStyle w:val="ListParagraph"/>
        <w:numPr>
          <w:ilvl w:val="0"/>
          <w:numId w:val="2"/>
        </w:numPr>
        <w:spacing w:after="90"/>
      </w:pPr>
      <w:r>
        <w:t xml:space="preserve">Event Management, Registration, and Scheduling</w:t>
      </w:r>
    </w:p>
    <w:p>
      <w:pPr>
        <w:pStyle w:val="ListParagraph"/>
        <w:numPr>
          <w:ilvl w:val="0"/>
          <w:numId w:val="2"/>
        </w:numPr>
        <w:spacing w:after="90"/>
      </w:pPr>
      <w:r>
        <w:t xml:space="preserve">Digital Judging and Results computation</w:t>
      </w:r>
    </w:p>
    <w:p>
      <w:pPr>
        <w:pStyle w:val="ListParagraph"/>
        <w:numPr>
          <w:ilvl w:val="0"/>
          <w:numId w:val="2"/>
        </w:numPr>
        <w:spacing w:after="90"/>
      </w:pPr>
      <w:r>
        <w:t xml:space="preserve">Certificate generation</w:t>
      </w:r>
    </w:p>
    <w:p>
      <w:pPr>
        <w:pStyle w:val="ListParagraph"/>
        <w:numPr>
          <w:ilvl w:val="0"/>
          <w:numId w:val="2"/>
        </w:numPr>
        <w:spacing w:after="90"/>
      </w:pPr>
      <w:r>
        <w:t xml:space="preserve">Reports and Analytics</w:t>
      </w:r>
    </w:p>
    <w:p>
      <w:pPr>
        <w:pStyle w:val="ListParagraph"/>
        <w:numPr>
          <w:ilvl w:val="0"/>
          <w:numId w:val="2"/>
        </w:numPr>
        <w:spacing w:after="90"/>
      </w:pPr>
      <w:r>
        <w:t xml:space="preserve">Notifications and Audit Logs</w:t>
      </w:r>
    </w:p>
    <w:p>
      <w:pPr>
        <w:pStyle w:val="ListParagraph"/>
        <w:numPr>
          <w:ilvl w:val="0"/>
          <w:numId w:val="2"/>
        </w:numPr>
        <w:spacing w:after="90"/>
      </w:pPr>
      <w:r>
        <w:t xml:space="preserve">Administrator Dashboard and Settings</w:t>
      </w:r>
    </w:p>
    <w:p>
      <w:pPr>
        <w:pStyle w:val="ListParagraph"/>
        <w:numPr>
          <w:ilvl w:val="0"/>
          <w:numId w:val="2"/>
        </w:numPr>
        <w:spacing w:after="90"/>
      </w:pPr>
      <w:r>
        <w:t xml:space="preserve">AI Module: Registration Validation Agent, Event Scheduling Assistant, Result Analysis Agent, Certificate Verification Agent, Announcement Generator, and Natural Language Admin Assistant</w:t>
      </w:r>
    </w:p>
    <w:p>
      <w:pPr>
        <w:pStyle w:val="Heading1"/>
        <w:pageBreakBefore/>
        <w:spacing w:after="160" w:before="240"/>
      </w:pPr>
      <w:r>
        <w:rPr>
          <w:b/>
          <w:bCs/>
          <w:color w:val="1F3864"/>
        </w:rPr>
        <w:t xml:space="preserve">18. Out of Scope</w:t>
      </w:r>
    </w:p>
    <w:p>
      <w:pPr>
        <w:spacing w:after="160" w:line="300"/>
        <w:jc w:val="both"/>
      </w:pPr>
      <w:r>
        <w:t xml:space="preserve">The following are explicitly out of scope for the initial commercial release and are noted here to set clear expectations with stakeholders:</w:t>
      </w:r>
    </w:p>
    <w:p>
      <w:pPr>
        <w:pStyle w:val="ListParagraph"/>
        <w:numPr>
          <w:ilvl w:val="0"/>
          <w:numId w:val="2"/>
        </w:numPr>
        <w:spacing w:after="90"/>
      </w:pPr>
      <w:r>
        <w:t xml:space="preserve">Payment processing and ticketing for paid public events (reserved for a future commerce module).</w:t>
      </w:r>
    </w:p>
    <w:p>
      <w:pPr>
        <w:pStyle w:val="ListParagraph"/>
        <w:numPr>
          <w:ilvl w:val="0"/>
          <w:numId w:val="2"/>
        </w:numPr>
        <w:spacing w:after="90"/>
      </w:pPr>
      <w:r>
        <w:t xml:space="preserve">Native mobile applications (the initial release is a responsive web application; native apps are a future roadmap item).</w:t>
      </w:r>
    </w:p>
    <w:p>
      <w:pPr>
        <w:pStyle w:val="ListParagraph"/>
        <w:numPr>
          <w:ilvl w:val="0"/>
          <w:numId w:val="2"/>
        </w:numPr>
        <w:spacing w:after="90"/>
      </w:pPr>
      <w:r>
        <w:t xml:space="preserve">Live video streaming or broadcast integration for events.</w:t>
      </w:r>
    </w:p>
    <w:p>
      <w:pPr>
        <w:pStyle w:val="ListParagraph"/>
        <w:numPr>
          <w:ilvl w:val="0"/>
          <w:numId w:val="2"/>
        </w:numPr>
        <w:spacing w:after="90"/>
      </w:pPr>
      <w:r>
        <w:t xml:space="preserve">Learning Management System (LMS) functionality such as coursework, grading, or academic transcripts.</w:t>
      </w:r>
    </w:p>
    <w:p>
      <w:pPr>
        <w:pStyle w:val="ListParagraph"/>
        <w:numPr>
          <w:ilvl w:val="0"/>
          <w:numId w:val="2"/>
        </w:numPr>
        <w:spacing w:after="90"/>
      </w:pPr>
      <w:r>
        <w:t xml:space="preserve">Physical hardware integrations (e.g., RFID badge scanning) beyond what is explicitly listed in the roadmap.</w:t>
      </w:r>
    </w:p>
    <w:p>
      <w:pPr>
        <w:pStyle w:val="ListParagraph"/>
        <w:numPr>
          <w:ilvl w:val="0"/>
          <w:numId w:val="2"/>
        </w:numPr>
        <w:spacing w:after="90"/>
      </w:pPr>
      <w:r>
        <w:t xml:space="preserve">Full multi-language localization at initial launch (planned for a later phase).</w:t>
      </w:r>
    </w:p>
    <w:p>
      <w:pPr>
        <w:pStyle w:val="Heading1"/>
        <w:pageBreakBefore/>
        <w:spacing w:after="160" w:before="240"/>
      </w:pPr>
      <w:r>
        <w:rPr>
          <w:b/>
          <w:bCs/>
          <w:color w:val="1F3864"/>
        </w:rPr>
        <w:t xml:space="preserve">19. Core Functional Areas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Functional Area</w:t>
            </w:r>
          </w:p>
        </w:tc>
        <w:tc>
          <w:tcPr>
            <w:tcW w:type="dxa" w:w="6900"/>
            <w:shd w:fill="1F3864" w:color="auto" w:val="clear"/>
            <w:tcMar>
              <w:top w:type="dxa" w:w="80"/>
              <w:left w:type="dxa" w:w="120"/>
              <w:bottom w:type="dxa" w:w="80"/>
              <w:right w:type="dxa" w:w="120"/>
            </w:tcMar>
            <w:vAlign w:val="center"/>
          </w:tcPr>
          <w:p>
            <w:pPr>
              <w:jc w:val="left"/>
            </w:pPr>
            <w:r>
              <w:rPr>
                <w:b/>
                <w:bCs/>
                <w:color w:val="FFFFFF"/>
              </w:rPr>
              <w:t xml:space="preserve">Description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Authentication &amp; RBAC</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Secure JWT-based authentication with granular, role-based permissions across all modules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Organization Management</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Multi-tenant organization setup, branding, and configuration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Academic Year Management</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Definition of academic-year boundaries scoping students, houses, and festivals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Festival Management</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Creation and configuration of festivals as containers for events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House Management</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Definition of houses/teams and their point-tally configuration</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Student Management</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Student records, house assignment, and eligibility tracking</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Teacher Management</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Teacher/coordinator accounts and house or event assignments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Team Management</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Group event team formation and roster management</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Event Management</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Configuration of individual events, categories, and rules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Registration</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Self-service and administrator-assisted registration with validation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Scheduling</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Venue and time-slot assignment with conflict detection</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Judging</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Digital scoresheets, judge assignment, and real-time score aggregation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Results</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Automated computation of individual and house-level results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Certificates</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Automated, templated certificate generation and verification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Reports &amp; Analytics</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Configurable reports and dashboards across events and academic years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Notifications</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Centralized, role-targeted notifications across the platform</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Audit Logs</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Immutable logging of all state-changing actions across the system</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Dashboard</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Role-specific real-time overview of event status and key metrics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Settings</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Organization-level configuration of branding, roles, and workflow rules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AI Module</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Cross-cutting AI agents supporting registration, scheduling, judging, and communication</w:t>
            </w:r>
          </w:p>
        </w:tc>
      </w:tr>
    </w:tbl>
    <w:p>
      <w:pPr>
        <w:pStyle w:val="Heading1"/>
        <w:pageBreakBefore/>
        <w:spacing w:after="160" w:before="240"/>
      </w:pPr>
      <w:r>
        <w:rPr>
          <w:b/>
          <w:bCs/>
          <w:color w:val="1F3864"/>
        </w:rPr>
        <w:t xml:space="preserve">20. AI Vision</w:t>
      </w:r>
    </w:p>
    <w:p>
      <w:pPr>
        <w:spacing w:after="160" w:line="300"/>
        <w:jc w:val="both"/>
      </w:pPr>
      <w:r>
        <w:t xml:space="preserve">EventFlow AI treats artificial intelligence as a core architectural layer rather than an add-on feature. Each AI agent is scoped to a specific administrative burden and is designed to be auditable: every AI-assisted decision (a flagged registration, a suggested schedule, a flagged anomaly in results) is presented to a human administrator for confirmation rather than acting autonomously on high-stakes actions such as publishing final results.</w:t>
      </w:r>
    </w:p>
    <w:p>
      <w:pPr>
        <w:pStyle w:val="Heading3"/>
        <w:spacing w:after="100" w:before="160"/>
      </w:pPr>
      <w:r>
        <w:rPr>
          <w:b/>
          <w:bCs/>
          <w:color w:val="595959"/>
        </w:rPr>
        <w:t xml:space="preserve">AI Agents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Agent</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Function</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Registration Validation Agent</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Reviews incoming registrations for completeness, duplication, and eligibility rule violations before they reach an administrator's queue</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Event Scheduling Assistant</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Proposes venue and time-slot assignments, detects clashes, and suggests resolutions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Result Analysis Agent</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Reviews computed results for statistical anomalies or scoring inconsistencies prior to publication</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Certificate Verification Agent</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Validates certificate data against source records and detects tampering or generation errors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Announcement Generator</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Drafts participant- and parent-facing announcements and notifications from structured event data</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Natural Language Admin Assistant</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Allows administrators to query event status, generate summaries, and trigger routine actions using natural language</w:t>
            </w:r>
          </w:p>
        </w:tc>
      </w:tr>
    </w:tbl>
    <w:p>
      <w:pPr>
        <w:pStyle w:val="Heading3"/>
        <w:spacing w:after="100" w:before="160"/>
      </w:pPr>
      <w:r>
        <w:rPr>
          <w:b/>
          <w:bCs/>
          <w:color w:val="595959"/>
        </w:rPr>
        <w:t xml:space="preserve">Future AI Agents</w:t>
      </w:r>
    </w:p>
    <w:p>
      <w:pPr>
        <w:spacing w:after="160" w:line="300"/>
        <w:jc w:val="both"/>
      </w:pPr>
      <w:r>
        <w:t xml:space="preserve">The roadmap includes further agents such as a Predictive Attendance Agent (forecasting no-shows to optimize scheduling), a Judging Consistency Agent (detecting scoring drift between judges), and a cross-organization Benchmarking Agent for institutions that opt into anonymized comparative analytics.</w:t>
      </w:r>
    </w:p>
    <w:p>
      <w:pPr>
        <w:pStyle w:val="Heading1"/>
        <w:pageBreakBefore/>
        <w:spacing w:after="160" w:before="240"/>
      </w:pPr>
      <w:r>
        <w:rPr>
          <w:b/>
          <w:bCs/>
          <w:color w:val="1F3864"/>
        </w:rPr>
        <w:t xml:space="preserve">21. Product Principles</w:t>
      </w:r>
    </w:p>
    <w:p>
      <w:pPr>
        <w:pStyle w:val="ListParagraph"/>
        <w:numPr>
          <w:ilvl w:val="0"/>
          <w:numId w:val="2"/>
        </w:numPr>
        <w:spacing w:after="90"/>
      </w:pPr>
      <w:r>
        <w:t xml:space="preserve">Human-in-the-loop by default: AI assists and recommends; humans confirm high-stakes actions such as publishing final results.</w:t>
      </w:r>
    </w:p>
    <w:p>
      <w:pPr>
        <w:pStyle w:val="ListParagraph"/>
        <w:numPr>
          <w:ilvl w:val="0"/>
          <w:numId w:val="2"/>
        </w:numPr>
        <w:spacing w:after="90"/>
      </w:pPr>
      <w:r>
        <w:t xml:space="preserve">Configuration over customization: New institutions are onboarded through configuration, not bespoke code changes.</w:t>
      </w:r>
    </w:p>
    <w:p>
      <w:pPr>
        <w:pStyle w:val="ListParagraph"/>
        <w:numPr>
          <w:ilvl w:val="0"/>
          <w:numId w:val="2"/>
        </w:numPr>
        <w:spacing w:after="90"/>
      </w:pPr>
      <w:r>
        <w:t xml:space="preserve">Auditability everywhere: Every state-changing action is logged, attributable, and reviewable.</w:t>
      </w:r>
    </w:p>
    <w:p>
      <w:pPr>
        <w:pStyle w:val="ListParagraph"/>
        <w:numPr>
          <w:ilvl w:val="0"/>
          <w:numId w:val="2"/>
        </w:numPr>
        <w:spacing w:after="90"/>
      </w:pPr>
      <w:r>
        <w:t xml:space="preserve">Mobile-first for front-line users: Judges, teachers, and students interact with the platform primarily on mobile devices during live events.</w:t>
      </w:r>
    </w:p>
    <w:p>
      <w:pPr>
        <w:pStyle w:val="ListParagraph"/>
        <w:numPr>
          <w:ilvl w:val="0"/>
          <w:numId w:val="2"/>
        </w:numPr>
        <w:spacing w:after="90"/>
      </w:pPr>
      <w:r>
        <w:t xml:space="preserve">Multi-tenant from day one: No feature is designed in a way that assumes a single-organization deployment.</w:t>
      </w:r>
    </w:p>
    <w:p>
      <w:pPr>
        <w:pStyle w:val="ListParagraph"/>
        <w:numPr>
          <w:ilvl w:val="0"/>
          <w:numId w:val="2"/>
        </w:numPr>
        <w:spacing w:after="90"/>
      </w:pPr>
      <w:r>
        <w:t xml:space="preserve">Fail gracefully under load: The system is designed to degrade predictably, never silently, during peak concurrent usage.</w:t>
      </w:r>
    </w:p>
    <w:p>
      <w:pPr>
        <w:pStyle w:val="Heading1"/>
        <w:pageBreakBefore/>
        <w:spacing w:after="160" w:before="240"/>
      </w:pPr>
      <w:r>
        <w:rPr>
          <w:b/>
          <w:bCs/>
          <w:color w:val="1F3864"/>
        </w:rPr>
        <w:t xml:space="preserve">22. Business Success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3864" w:color="auto" w:val="clear"/>
            <w:tcMar>
              <w:top w:type="dxa" w:w="80"/>
              <w:left w:type="dxa" w:w="120"/>
              <w:bottom w:type="dxa" w:w="80"/>
              <w:right w:type="dxa" w:w="120"/>
            </w:tcMar>
            <w:vAlign w:val="center"/>
          </w:tcPr>
          <w:p>
            <w:pPr>
              <w:jc w:val="left"/>
            </w:pPr>
            <w:r>
              <w:rPr>
                <w:b/>
                <w:bCs/>
                <w:color w:val="FFFFFF"/>
              </w:rPr>
              <w:t xml:space="preserve">Metric</w:t>
            </w:r>
          </w:p>
        </w:tc>
        <w:tc>
          <w:tcPr>
            <w:tcW w:type="dxa" w:w="5700"/>
            <w:shd w:fill="1F3864" w:color="auto" w:val="clear"/>
            <w:tcMar>
              <w:top w:type="dxa" w:w="80"/>
              <w:left w:type="dxa" w:w="120"/>
              <w:bottom w:type="dxa" w:w="80"/>
              <w:right w:type="dxa" w:w="120"/>
            </w:tcMar>
            <w:vAlign w:val="center"/>
          </w:tcPr>
          <w:p>
            <w:pPr>
              <w:jc w:val="left"/>
            </w:pPr>
            <w:r>
              <w:rPr>
                <w:b/>
                <w:bCs/>
                <w:color w:val="FFFFFF"/>
              </w:rPr>
              <w:t xml:space="preserve">Target / Definition</w:t>
            </w:r>
          </w:p>
        </w:tc>
      </w:tr>
      <w:tr>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Time to onboard a new institution</w:t>
            </w:r>
          </w:p>
        </w:tc>
        <w:tc>
          <w:tcPr>
            <w:tcW w:type="dxa" w:w="5700"/>
            <w:shd w:fill="FFFFFF" w:color="auto" w:val="clear"/>
            <w:tcMar>
              <w:top w:type="dxa" w:w="80"/>
              <w:left w:type="dxa" w:w="120"/>
              <w:bottom w:type="dxa" w:w="80"/>
              <w:right w:type="dxa" w:w="120"/>
            </w:tcMar>
            <w:vAlign w:val="center"/>
          </w:tcPr>
          <w:p>
            <w:pPr>
              <w:jc w:val="left"/>
            </w:pPr>
            <w:r>
              <w:rPr>
                <w:b w:val="false"/>
                <w:bCs w:val="false"/>
                <w:color w:val="000000"/>
              </w:rPr>
              <w:t xml:space="preserve">Fully configured and live within one week of contract signature</w:t>
            </w:r>
          </w:p>
        </w:tc>
      </w:tr>
      <w:tr>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Reduction in administrative hours per festival</w:t>
            </w:r>
          </w:p>
        </w:tc>
        <w:tc>
          <w:tcPr>
            <w:tcW w:type="dxa" w:w="5700"/>
            <w:shd w:fill="F2F2F2" w:color="auto" w:val="clear"/>
            <w:tcMar>
              <w:top w:type="dxa" w:w="80"/>
              <w:left w:type="dxa" w:w="120"/>
              <w:bottom w:type="dxa" w:w="80"/>
              <w:right w:type="dxa" w:w="120"/>
            </w:tcMar>
            <w:vAlign w:val="center"/>
          </w:tcPr>
          <w:p>
            <w:pPr>
              <w:jc w:val="left"/>
            </w:pPr>
            <w:r>
              <w:rPr>
                <w:b w:val="false"/>
                <w:bCs w:val="false"/>
                <w:color w:val="000000"/>
              </w:rPr>
              <w:t xml:space="preserve">Measured reduction versus the institution's prior manual process</w:t>
            </w:r>
          </w:p>
        </w:tc>
      </w:tr>
      <w:tr>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Registration processing time</w:t>
            </w:r>
          </w:p>
        </w:tc>
        <w:tc>
          <w:tcPr>
            <w:tcW w:type="dxa" w:w="5700"/>
            <w:shd w:fill="FFFFFF" w:color="auto" w:val="clear"/>
            <w:tcMar>
              <w:top w:type="dxa" w:w="80"/>
              <w:left w:type="dxa" w:w="120"/>
              <w:bottom w:type="dxa" w:w="80"/>
              <w:right w:type="dxa" w:w="120"/>
            </w:tcMar>
            <w:vAlign w:val="center"/>
          </w:tcPr>
          <w:p>
            <w:pPr>
              <w:jc w:val="left"/>
            </w:pPr>
            <w:r>
              <w:rPr>
                <w:b w:val="false"/>
                <w:bCs w:val="false"/>
                <w:color w:val="000000"/>
              </w:rPr>
              <w:t xml:space="preserve">Time from submission to validated confirmation</w:t>
            </w:r>
          </w:p>
        </w:tc>
      </w:tr>
      <w:tr>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Result publication turnaround</w:t>
            </w:r>
          </w:p>
        </w:tc>
        <w:tc>
          <w:tcPr>
            <w:tcW w:type="dxa" w:w="5700"/>
            <w:shd w:fill="F2F2F2" w:color="auto" w:val="clear"/>
            <w:tcMar>
              <w:top w:type="dxa" w:w="80"/>
              <w:left w:type="dxa" w:w="120"/>
              <w:bottom w:type="dxa" w:w="80"/>
              <w:right w:type="dxa" w:w="120"/>
            </w:tcMar>
            <w:vAlign w:val="center"/>
          </w:tcPr>
          <w:p>
            <w:pPr>
              <w:jc w:val="left"/>
            </w:pPr>
            <w:r>
              <w:rPr>
                <w:b w:val="false"/>
                <w:bCs w:val="false"/>
                <w:color w:val="000000"/>
              </w:rPr>
              <w:t xml:space="preserve">Time from event completion to published, verified results</w:t>
            </w:r>
          </w:p>
        </w:tc>
      </w:tr>
      <w:tr>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Customer retention (renewal rate)</w:t>
            </w:r>
          </w:p>
        </w:tc>
        <w:tc>
          <w:tcPr>
            <w:tcW w:type="dxa" w:w="5700"/>
            <w:shd w:fill="FFFFFF" w:color="auto" w:val="clear"/>
            <w:tcMar>
              <w:top w:type="dxa" w:w="80"/>
              <w:left w:type="dxa" w:w="120"/>
              <w:bottom w:type="dxa" w:w="80"/>
              <w:right w:type="dxa" w:w="120"/>
            </w:tcMar>
            <w:vAlign w:val="center"/>
          </w:tcPr>
          <w:p>
            <w:pPr>
              <w:jc w:val="left"/>
            </w:pPr>
            <w:r>
              <w:rPr>
                <w:b w:val="false"/>
                <w:bCs w:val="false"/>
                <w:color w:val="000000"/>
              </w:rPr>
              <w:t xml:space="preserve">Annual subscription renewal rate across institutional customers</w:t>
            </w:r>
          </w:p>
        </w:tc>
      </w:tr>
      <w:tr>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Net Promoter Score (NPS)</w:t>
            </w:r>
          </w:p>
        </w:tc>
        <w:tc>
          <w:tcPr>
            <w:tcW w:type="dxa" w:w="5700"/>
            <w:shd w:fill="F2F2F2" w:color="auto" w:val="clear"/>
            <w:tcMar>
              <w:top w:type="dxa" w:w="80"/>
              <w:left w:type="dxa" w:w="120"/>
              <w:bottom w:type="dxa" w:w="80"/>
              <w:right w:type="dxa" w:w="120"/>
            </w:tcMar>
            <w:vAlign w:val="center"/>
          </w:tcPr>
          <w:p>
            <w:pPr>
              <w:jc w:val="left"/>
            </w:pPr>
            <w:r>
              <w:rPr>
                <w:b w:val="false"/>
                <w:bCs w:val="false"/>
                <w:color w:val="000000"/>
              </w:rPr>
              <w:t xml:space="preserve">Administrator and coordinator satisfaction post-festival</w:t>
            </w:r>
          </w:p>
        </w:tc>
      </w:tr>
      <w:tr>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Number of active organizations</w:t>
            </w:r>
          </w:p>
        </w:tc>
        <w:tc>
          <w:tcPr>
            <w:tcW w:type="dxa" w:w="5700"/>
            <w:shd w:fill="FFFFFF" w:color="auto" w:val="clear"/>
            <w:tcMar>
              <w:top w:type="dxa" w:w="80"/>
              <w:left w:type="dxa" w:w="120"/>
              <w:bottom w:type="dxa" w:w="80"/>
              <w:right w:type="dxa" w:w="120"/>
            </w:tcMar>
            <w:vAlign w:val="center"/>
          </w:tcPr>
          <w:p>
            <w:pPr>
              <w:jc w:val="left"/>
            </w:pPr>
            <w:r>
              <w:rPr>
                <w:b w:val="false"/>
                <w:bCs w:val="false"/>
                <w:color w:val="000000"/>
              </w:rPr>
              <w:t xml:space="preserve">Count of paying, actively-using tenant organizations</w:t>
            </w:r>
          </w:p>
        </w:tc>
      </w:tr>
      <w:tr>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AI agent acceptance rate</w:t>
            </w:r>
          </w:p>
        </w:tc>
        <w:tc>
          <w:tcPr>
            <w:tcW w:type="dxa" w:w="5700"/>
            <w:shd w:fill="F2F2F2" w:color="auto" w:val="clear"/>
            <w:tcMar>
              <w:top w:type="dxa" w:w="80"/>
              <w:left w:type="dxa" w:w="120"/>
              <w:bottom w:type="dxa" w:w="80"/>
              <w:right w:type="dxa" w:w="120"/>
            </w:tcMar>
            <w:vAlign w:val="center"/>
          </w:tcPr>
          <w:p>
            <w:pPr>
              <w:jc w:val="left"/>
            </w:pPr>
            <w:r>
              <w:rPr>
                <w:b w:val="false"/>
                <w:bCs w:val="false"/>
                <w:color w:val="000000"/>
              </w:rPr>
              <w:t xml:space="preserve">Proportion of AI-suggested actions (scheduling, validation) accepted without modification</w:t>
            </w:r>
          </w:p>
        </w:tc>
      </w:tr>
    </w:tbl>
    <w:p>
      <w:pPr>
        <w:pStyle w:val="Heading1"/>
        <w:pageBreakBefore/>
        <w:spacing w:after="160" w:before="240"/>
      </w:pPr>
      <w:r>
        <w:rPr>
          <w:b/>
          <w:bCs/>
          <w:color w:val="1F3864"/>
        </w:rPr>
        <w:t xml:space="preserve">23. Non-Functional Goals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Category</w:t>
            </w:r>
          </w:p>
        </w:tc>
        <w:tc>
          <w:tcPr>
            <w:tcW w:type="dxa" w:w="6900"/>
            <w:shd w:fill="1F3864" w:color="auto" w:val="clear"/>
            <w:tcMar>
              <w:top w:type="dxa" w:w="80"/>
              <w:left w:type="dxa" w:w="120"/>
              <w:bottom w:type="dxa" w:w="80"/>
              <w:right w:type="dxa" w:w="120"/>
            </w:tcMar>
            <w:vAlign w:val="center"/>
          </w:tcPr>
          <w:p>
            <w:pPr>
              <w:jc w:val="left"/>
            </w:pPr>
            <w:r>
              <w:rPr>
                <w:b/>
                <w:bCs/>
                <w:color w:val="FFFFFF"/>
              </w:rPr>
              <w:t xml:space="preserve">Goal</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Availability</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High availability during live festival windows, with planned maintenance scheduled outside peak usage periods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Performance</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Sub-second response times for dashboard and registration operations under expected concurrent load</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Scalability</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Horizontal scalability of application and worker tiers to absorb festival-day traffic spikes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Security</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Encryption in transit and at rest, JWT-based authentication, and strict tenant data isolation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Usability</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Mobile-first, accessible interfaces for judges, teachers, and students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Maintainability</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Modular, well-documented codebase supporting independent evolution of each core module</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Auditability</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Immutable, queryable audit trail for every state-changing action</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Data Portability</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Structured export of organizational data to support customer data ownership expectations</w:t>
            </w:r>
          </w:p>
        </w:tc>
      </w:tr>
    </w:tbl>
    <w:p>
      <w:pPr>
        <w:pStyle w:val="Heading1"/>
        <w:pageBreakBefore/>
        <w:spacing w:after="160" w:before="240"/>
      </w:pPr>
      <w:r>
        <w:rPr>
          <w:b/>
          <w:bCs/>
          <w:color w:val="1F3864"/>
        </w:rPr>
        <w:t xml:space="preserve">24. Scalability Vision</w:t>
      </w:r>
    </w:p>
    <w:p>
      <w:pPr>
        <w:spacing w:after="160" w:line="300"/>
        <w:jc w:val="both"/>
      </w:pPr>
      <w:r>
        <w:t xml:space="preserve">EventFlow AI is architected as a multi-tenant platform in which a single deployment serves many organizations, each with logically isolated data. The backend, built on Django and Django REST Framework with PostgreSQL as the primary data store, is designed to scale horizontally behind a load balancer, with Redis and Celery handling asynchronous workloads such as notification dispatch, certificate generation, and AI agent invocations so that these operations do not block interactive request paths.</w:t>
      </w:r>
    </w:p>
    <w:p>
      <w:pPr>
        <w:spacing w:after="160" w:line="300"/>
        <w:jc w:val="both"/>
      </w:pPr>
      <w:r>
        <w:t xml:space="preserve">Peak load during live festival days — concurrent judging score submissions, live leaderboard refreshes, and registration bursts — is the primary scalability scenario the architecture is designed around, rather than steady-state daily usage. Containerization via Docker and orchestration-ready deployment patterns allow the platform to scale application and worker tiers independently as the number of tenant organizations and concurrent festivals grows.</w:t>
      </w:r>
    </w:p>
    <w:p>
      <w:pPr>
        <w:pStyle w:val="Heading3"/>
        <w:spacing w:after="100" w:before="160"/>
      </w:pPr>
      <w:r>
        <w:rPr>
          <w:b/>
          <w:bCs/>
          <w:color w:val="595959"/>
        </w:rPr>
        <w:t xml:space="preserve">Scalability Roadmap</w:t>
      </w:r>
    </w:p>
    <w:p>
      <w:pPr>
        <w:pStyle w:val="ListParagraph"/>
        <w:numPr>
          <w:ilvl w:val="0"/>
          <w:numId w:val="2"/>
        </w:numPr>
        <w:spacing w:after="90"/>
      </w:pPr>
      <w:r>
        <w:t xml:space="preserve">Phase 1: Single-region deployment supporting a small number of pilot institutions with manual scaling.</w:t>
      </w:r>
    </w:p>
    <w:p>
      <w:pPr>
        <w:pStyle w:val="ListParagraph"/>
        <w:numPr>
          <w:ilvl w:val="0"/>
          <w:numId w:val="2"/>
        </w:numPr>
        <w:spacing w:after="90"/>
      </w:pPr>
      <w:r>
        <w:t xml:space="preserve">Phase 2: Auto-scaling application and worker tiers, read replicas for reporting and analytics workloads.</w:t>
      </w:r>
    </w:p>
    <w:p>
      <w:pPr>
        <w:pStyle w:val="ListParagraph"/>
        <w:numPr>
          <w:ilvl w:val="0"/>
          <w:numId w:val="2"/>
        </w:numPr>
        <w:spacing w:after="90"/>
      </w:pPr>
      <w:r>
        <w:t xml:space="preserve">Phase 3: Multi-region deployment for latency-sensitive customers and disaster recovery.</w:t>
      </w:r>
    </w:p>
    <w:p>
      <w:pPr>
        <w:pStyle w:val="ListParagraph"/>
        <w:numPr>
          <w:ilvl w:val="0"/>
          <w:numId w:val="2"/>
        </w:numPr>
        <w:spacing w:after="90"/>
      </w:pPr>
      <w:r>
        <w:t xml:space="preserve">Phase 4: Tenant-level resource isolation options for very large enterprise or government customers with dedicated compliance requirements.</w:t>
      </w:r>
    </w:p>
    <w:p>
      <w:pPr>
        <w:pStyle w:val="Heading1"/>
        <w:pageBreakBefore/>
        <w:spacing w:after="160" w:before="240"/>
      </w:pPr>
      <w:r>
        <w:rPr>
          <w:b/>
          <w:bCs/>
          <w:color w:val="1F3864"/>
        </w:rPr>
        <w:t xml:space="preserve">25. Security Vision</w:t>
      </w:r>
    </w:p>
    <w:p>
      <w:pPr>
        <w:spacing w:after="160" w:line="300"/>
        <w:jc w:val="both"/>
      </w:pPr>
      <w:r>
        <w:t xml:space="preserve">Security is treated as a foundational requirement rather than a post-launch addition, given that the platform will hold personally identifiable information about minors (in the school segment) and institutional records more broadly. Authentication is JWT-based with short-lived access tokens and refresh-token rotation. Role-Based Access Control is enforced at the API layer for every module, ensuring that a judge, teacher, or student can only access data within their authorized scope.</w:t>
      </w:r>
    </w:p>
    <w:p>
      <w:pPr>
        <w:pStyle w:val="ListParagraph"/>
        <w:numPr>
          <w:ilvl w:val="0"/>
          <w:numId w:val="2"/>
        </w:numPr>
        <w:spacing w:after="90"/>
      </w:pPr>
      <w:r>
        <w:t xml:space="preserve">Strict tenant data isolation to prevent cross-organization data leakage in a shared-infrastructure model.</w:t>
      </w:r>
    </w:p>
    <w:p>
      <w:pPr>
        <w:pStyle w:val="ListParagraph"/>
        <w:numPr>
          <w:ilvl w:val="0"/>
          <w:numId w:val="2"/>
        </w:numPr>
        <w:spacing w:after="90"/>
      </w:pPr>
      <w:r>
        <w:t xml:space="preserve">Encryption of data in transit (TLS) and at rest for sensitive fields.</w:t>
      </w:r>
    </w:p>
    <w:p>
      <w:pPr>
        <w:pStyle w:val="ListParagraph"/>
        <w:numPr>
          <w:ilvl w:val="0"/>
          <w:numId w:val="2"/>
        </w:numPr>
        <w:spacing w:after="90"/>
      </w:pPr>
      <w:r>
        <w:t xml:space="preserve">Comprehensive audit logging of authentication events and state-changing actions, retained for compliance review.</w:t>
      </w:r>
    </w:p>
    <w:p>
      <w:pPr>
        <w:pStyle w:val="ListParagraph"/>
        <w:numPr>
          <w:ilvl w:val="0"/>
          <w:numId w:val="2"/>
        </w:numPr>
        <w:spacing w:after="90"/>
      </w:pPr>
      <w:r>
        <w:t xml:space="preserve">Principle of least privilege applied to every role definition within the RBAC model.</w:t>
      </w:r>
    </w:p>
    <w:p>
      <w:pPr>
        <w:pStyle w:val="ListParagraph"/>
        <w:numPr>
          <w:ilvl w:val="0"/>
          <w:numId w:val="2"/>
        </w:numPr>
        <w:spacing w:after="90"/>
      </w:pPr>
      <w:r>
        <w:t xml:space="preserve">Regular dependency and vulnerability scanning integrated into the CI/CD pipeline.</w:t>
      </w:r>
    </w:p>
    <w:p>
      <w:pPr>
        <w:pStyle w:val="ListParagraph"/>
        <w:numPr>
          <w:ilvl w:val="0"/>
          <w:numId w:val="2"/>
        </w:numPr>
        <w:spacing w:after="90"/>
      </w:pPr>
      <w:r>
        <w:t xml:space="preserve">Data handling practices aligned with applicable data protection expectations for student and minor data, with particular attention to consent and data minimization in the schools segment.</w:t>
      </w:r>
    </w:p>
    <w:p>
      <w:pPr>
        <w:pStyle w:val="Heading1"/>
        <w:pageBreakBefore/>
        <w:spacing w:after="160" w:before="240"/>
      </w:pPr>
      <w:r>
        <w:rPr>
          <w:b/>
          <w:bCs/>
          <w:color w:val="1F3864"/>
        </w:rPr>
        <w:t xml:space="preserve">26. Long-Term Product Roadmap (3–5 Years)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Horizon</w:t>
            </w:r>
          </w:p>
        </w:tc>
        <w:tc>
          <w:tcPr>
            <w:tcW w:type="dxa" w:w="1900"/>
            <w:shd w:fill="1F3864" w:color="auto" w:val="clear"/>
            <w:tcMar>
              <w:top w:type="dxa" w:w="80"/>
              <w:left w:type="dxa" w:w="120"/>
              <w:bottom w:type="dxa" w:w="80"/>
              <w:right w:type="dxa" w:w="120"/>
            </w:tcMar>
            <w:vAlign w:val="center"/>
          </w:tcPr>
          <w:p>
            <w:pPr>
              <w:jc w:val="left"/>
            </w:pPr>
            <w:r>
              <w:rPr>
                <w:b/>
                <w:bCs/>
                <w:color w:val="FFFFFF"/>
              </w:rPr>
              <w:t xml:space="preserve">Timeframe</w:t>
            </w:r>
          </w:p>
        </w:tc>
        <w:tc>
          <w:tcPr>
            <w:tcW w:type="dxa" w:w="4800"/>
            <w:shd w:fill="1F3864" w:color="auto" w:val="clear"/>
            <w:tcMar>
              <w:top w:type="dxa" w:w="80"/>
              <w:left w:type="dxa" w:w="120"/>
              <w:bottom w:type="dxa" w:w="80"/>
              <w:right w:type="dxa" w:w="120"/>
            </w:tcMar>
            <w:vAlign w:val="center"/>
          </w:tcPr>
          <w:p>
            <w:pPr>
              <w:jc w:val="left"/>
            </w:pPr>
            <w:r>
              <w:rPr>
                <w:b/>
                <w:bCs/>
                <w:color w:val="FFFFFF"/>
              </w:rPr>
              <w:t xml:space="preserve">Focus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Horizon 1 — Foundation</w:t>
            </w:r>
          </w:p>
        </w:tc>
        <w:tc>
          <w:tcPr>
            <w:tcW w:type="dxa" w:w="1900"/>
            <w:shd w:fill="FFFFFF" w:color="auto" w:val="clear"/>
            <w:tcMar>
              <w:top w:type="dxa" w:w="80"/>
              <w:left w:type="dxa" w:w="120"/>
              <w:bottom w:type="dxa" w:w="80"/>
              <w:right w:type="dxa" w:w="120"/>
            </w:tcMar>
            <w:vAlign w:val="center"/>
          </w:tcPr>
          <w:p>
            <w:pPr>
              <w:jc w:val="left"/>
            </w:pPr>
            <w:r>
              <w:rPr>
                <w:b w:val="false"/>
                <w:bCs w:val="false"/>
                <w:color w:val="000000"/>
              </w:rPr>
              <w:t xml:space="preserve">Year 1</w:t>
            </w:r>
          </w:p>
        </w:tc>
        <w:tc>
          <w:tcPr>
            <w:tcW w:type="dxa" w:w="4800"/>
            <w:shd w:fill="FFFFFF" w:color="auto" w:val="clear"/>
            <w:tcMar>
              <w:top w:type="dxa" w:w="80"/>
              <w:left w:type="dxa" w:w="120"/>
              <w:bottom w:type="dxa" w:w="80"/>
              <w:right w:type="dxa" w:w="120"/>
            </w:tcMar>
            <w:vAlign w:val="center"/>
          </w:tcPr>
          <w:p>
            <w:pPr>
              <w:jc w:val="left"/>
            </w:pPr>
            <w:r>
              <w:rPr>
                <w:b w:val="false"/>
                <w:bCs w:val="false"/>
                <w:color w:val="000000"/>
              </w:rPr>
              <w:t xml:space="preserve">Core modules, pilot deployment with an initial school customer, initial AI agents (Registration Validation, Scheduling Assistant)</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Horizon 2 — Commercialization</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Year 1–2</w:t>
            </w:r>
          </w:p>
        </w:tc>
        <w:tc>
          <w:tcPr>
            <w:tcW w:type="dxa" w:w="4800"/>
            <w:shd w:fill="F2F2F2" w:color="auto" w:val="clear"/>
            <w:tcMar>
              <w:top w:type="dxa" w:w="80"/>
              <w:left w:type="dxa" w:w="120"/>
              <w:bottom w:type="dxa" w:w="80"/>
              <w:right w:type="dxa" w:w="120"/>
            </w:tcMar>
            <w:vAlign w:val="center"/>
          </w:tcPr>
          <w:p>
            <w:pPr>
              <w:jc w:val="left"/>
            </w:pPr>
            <w:r>
              <w:rPr>
                <w:b w:val="false"/>
                <w:bCs w:val="false"/>
                <w:color w:val="000000"/>
              </w:rPr>
              <w:t xml:space="preserve">Multi-tenant onboarding automation, expansion to additional schools, Result Analysis and Certificate Verification agents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Horizon 3 — Market Expansion</w:t>
            </w:r>
          </w:p>
        </w:tc>
        <w:tc>
          <w:tcPr>
            <w:tcW w:type="dxa" w:w="1900"/>
            <w:shd w:fill="FFFFFF" w:color="auto" w:val="clear"/>
            <w:tcMar>
              <w:top w:type="dxa" w:w="80"/>
              <w:left w:type="dxa" w:w="120"/>
              <w:bottom w:type="dxa" w:w="80"/>
              <w:right w:type="dxa" w:w="120"/>
            </w:tcMar>
            <w:vAlign w:val="center"/>
          </w:tcPr>
          <w:p>
            <w:pPr>
              <w:jc w:val="left"/>
            </w:pPr>
            <w:r>
              <w:rPr>
                <w:b w:val="false"/>
                <w:bCs w:val="false"/>
                <w:color w:val="000000"/>
              </w:rPr>
              <w:t xml:space="preserve">Year 2–3</w:t>
            </w:r>
          </w:p>
        </w:tc>
        <w:tc>
          <w:tcPr>
            <w:tcW w:type="dxa" w:w="4800"/>
            <w:shd w:fill="FFFFFF" w:color="auto" w:val="clear"/>
            <w:tcMar>
              <w:top w:type="dxa" w:w="80"/>
              <w:left w:type="dxa" w:w="120"/>
              <w:bottom w:type="dxa" w:w="80"/>
              <w:right w:type="dxa" w:w="120"/>
            </w:tcMar>
            <w:vAlign w:val="center"/>
          </w:tcPr>
          <w:p>
            <w:pPr>
              <w:jc w:val="left"/>
            </w:pPr>
            <w:r>
              <w:rPr>
                <w:b w:val="false"/>
                <w:bCs w:val="false"/>
                <w:color w:val="000000"/>
              </w:rPr>
              <w:t xml:space="preserve">Expansion into colleges and universities, advanced analytics, Natural Language Admin Assistant, native mobile applications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Horizon 4 — Platform Maturity</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Year 3–4</w:t>
            </w:r>
          </w:p>
        </w:tc>
        <w:tc>
          <w:tcPr>
            <w:tcW w:type="dxa" w:w="4800"/>
            <w:shd w:fill="F2F2F2" w:color="auto" w:val="clear"/>
            <w:tcMar>
              <w:top w:type="dxa" w:w="80"/>
              <w:left w:type="dxa" w:w="120"/>
              <w:bottom w:type="dxa" w:w="80"/>
              <w:right w:type="dxa" w:w="120"/>
            </w:tcMar>
            <w:vAlign w:val="center"/>
          </w:tcPr>
          <w:p>
            <w:pPr>
              <w:jc w:val="left"/>
            </w:pPr>
            <w:r>
              <w:rPr>
                <w:b w:val="false"/>
                <w:bCs w:val="false"/>
                <w:color w:val="000000"/>
              </w:rPr>
              <w:t xml:space="preserve">NGO and government sector entry, white-label offering for event management companies, cross-organization benchmarking</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Horizon 5 — Ecosystem</w:t>
            </w:r>
          </w:p>
        </w:tc>
        <w:tc>
          <w:tcPr>
            <w:tcW w:type="dxa" w:w="1900"/>
            <w:shd w:fill="FFFFFF" w:color="auto" w:val="clear"/>
            <w:tcMar>
              <w:top w:type="dxa" w:w="80"/>
              <w:left w:type="dxa" w:w="120"/>
              <w:bottom w:type="dxa" w:w="80"/>
              <w:right w:type="dxa" w:w="120"/>
            </w:tcMar>
            <w:vAlign w:val="center"/>
          </w:tcPr>
          <w:p>
            <w:pPr>
              <w:jc w:val="left"/>
            </w:pPr>
            <w:r>
              <w:rPr>
                <w:b w:val="false"/>
                <w:bCs w:val="false"/>
                <w:color w:val="000000"/>
              </w:rPr>
              <w:t xml:space="preserve">Year 4–5</w:t>
            </w:r>
          </w:p>
        </w:tc>
        <w:tc>
          <w:tcPr>
            <w:tcW w:type="dxa" w:w="4800"/>
            <w:shd w:fill="FFFFFF" w:color="auto" w:val="clear"/>
            <w:tcMar>
              <w:top w:type="dxa" w:w="80"/>
              <w:left w:type="dxa" w:w="120"/>
              <w:bottom w:type="dxa" w:w="80"/>
              <w:right w:type="dxa" w:w="120"/>
            </w:tcMar>
            <w:vAlign w:val="center"/>
          </w:tcPr>
          <w:p>
            <w:pPr>
              <w:jc w:val="left"/>
            </w:pPr>
            <w:r>
              <w:rPr>
                <w:b w:val="false"/>
                <w:bCs w:val="false"/>
                <w:color w:val="000000"/>
              </w:rPr>
              <w:t xml:space="preserve">Corporate events vertical, third-party integrations and marketplace, advanced predictive AI agents</w:t>
            </w:r>
          </w:p>
        </w:tc>
      </w:tr>
    </w:tbl>
    <w:p>
      <w:pPr>
        <w:pStyle w:val="Heading1"/>
        <w:pageBreakBefore/>
        <w:spacing w:after="160" w:before="240"/>
      </w:pPr>
      <w:r>
        <w:rPr>
          <w:b/>
          <w:bCs/>
          <w:color w:val="1F3864"/>
        </w:rPr>
        <w:t xml:space="preserve">27. Risks and Mitigation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00"/>
      </w:tblGrid>
      <w:tr>
        <w:trPr>
          <w:tblHeader/>
        </w:trPr>
        <w:tc>
          <w:tcPr>
            <w:tcW w:type="dxa" w:w="2200"/>
            <w:shd w:fill="1F3864" w:color="auto" w:val="clear"/>
            <w:tcMar>
              <w:top w:type="dxa" w:w="80"/>
              <w:left w:type="dxa" w:w="120"/>
              <w:bottom w:type="dxa" w:w="80"/>
              <w:right w:type="dxa" w:w="120"/>
            </w:tcMar>
            <w:vAlign w:val="center"/>
          </w:tcPr>
          <w:p>
            <w:pPr>
              <w:jc w:val="left"/>
            </w:pPr>
            <w:r>
              <w:rPr>
                <w:b/>
                <w:bCs/>
                <w:color w:val="FFFFFF"/>
              </w:rPr>
              <w:t xml:space="preserve">Risk</w:t>
            </w:r>
          </w:p>
        </w:tc>
        <w:tc>
          <w:tcPr>
            <w:tcW w:type="dxa" w:w="3400"/>
            <w:shd w:fill="1F3864" w:color="auto" w:val="clear"/>
            <w:tcMar>
              <w:top w:type="dxa" w:w="80"/>
              <w:left w:type="dxa" w:w="120"/>
              <w:bottom w:type="dxa" w:w="80"/>
              <w:right w:type="dxa" w:w="120"/>
            </w:tcMar>
            <w:vAlign w:val="center"/>
          </w:tcPr>
          <w:p>
            <w:pPr>
              <w:jc w:val="left"/>
            </w:pPr>
            <w:r>
              <w:rPr>
                <w:b/>
                <w:bCs/>
                <w:color w:val="FFFFFF"/>
              </w:rPr>
              <w:t xml:space="preserve">Description</w:t>
            </w:r>
          </w:p>
        </w:tc>
        <w:tc>
          <w:tcPr>
            <w:tcW w:type="dxa" w:w="3700"/>
            <w:shd w:fill="1F3864" w:color="auto" w:val="clear"/>
            <w:tcMar>
              <w:top w:type="dxa" w:w="80"/>
              <w:left w:type="dxa" w:w="120"/>
              <w:bottom w:type="dxa" w:w="80"/>
              <w:right w:type="dxa" w:w="120"/>
            </w:tcMar>
            <w:vAlign w:val="center"/>
          </w:tcPr>
          <w:p>
            <w:pPr>
              <w:jc w:val="left"/>
            </w:pPr>
            <w:r>
              <w:rPr>
                <w:b/>
                <w:bCs/>
                <w:color w:val="FFFFFF"/>
              </w:rPr>
              <w:t xml:space="preserve">Mitigation</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Slow institutional sales cycles</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rPr>
              <w:t xml:space="preserve">Schools and colleges often have long procurement and budget-approval timelines</w:t>
            </w:r>
          </w:p>
        </w:tc>
        <w:tc>
          <w:tcPr>
            <w:tcW w:type="dxa" w:w="3700"/>
            <w:shd w:fill="FFFFFF" w:color="auto" w:val="clear"/>
            <w:tcMar>
              <w:top w:type="dxa" w:w="80"/>
              <w:left w:type="dxa" w:w="120"/>
              <w:bottom w:type="dxa" w:w="80"/>
              <w:right w:type="dxa" w:w="120"/>
            </w:tcMar>
            <w:vAlign w:val="center"/>
          </w:tcPr>
          <w:p>
            <w:pPr>
              <w:jc w:val="left"/>
            </w:pPr>
            <w:r>
              <w:rPr>
                <w:b w:val="false"/>
                <w:bCs w:val="false"/>
                <w:color w:val="000000"/>
              </w:rPr>
              <w:t xml:space="preserve">Lead with a low-friction pilot program and a referenceable first customer to shorten future sales cycles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Data privacy concerns (minors)</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Handling student data, particularly for minors, invites regulatory and reputational risk</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Data minimization, strict RBAC, encryption, and clear consent workflows built in from the outset</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Peak-load reliability during live events</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rPr>
              <w:t xml:space="preserve">Festival days concentrate usage into short, high-stakes windows</w:t>
            </w:r>
          </w:p>
        </w:tc>
        <w:tc>
          <w:tcPr>
            <w:tcW w:type="dxa" w:w="3700"/>
            <w:shd w:fill="FFFFFF" w:color="auto" w:val="clear"/>
            <w:tcMar>
              <w:top w:type="dxa" w:w="80"/>
              <w:left w:type="dxa" w:w="120"/>
              <w:bottom w:type="dxa" w:w="80"/>
              <w:right w:type="dxa" w:w="120"/>
            </w:tcMar>
            <w:vAlign w:val="center"/>
          </w:tcPr>
          <w:p>
            <w:pPr>
              <w:jc w:val="left"/>
            </w:pPr>
            <w:r>
              <w:rPr>
                <w:b w:val="false"/>
                <w:bCs w:val="false"/>
                <w:color w:val="000000"/>
              </w:rPr>
              <w:t xml:space="preserve">Load testing against realistic festival-day scenarios and asynchronous processing for non-critical operations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AI agent trust and accuracy</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Incorrect AI suggestions could erode administrator trust</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Human-in-the-loop confirmation for all high-stakes actions; transparent agent reasoning in the UI</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Competitive response from incumbents</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rPr>
              <w:t xml:space="preserve">Generic event or form platforms could add similar features</w:t>
            </w:r>
          </w:p>
        </w:tc>
        <w:tc>
          <w:tcPr>
            <w:tcW w:type="dxa" w:w="3700"/>
            <w:shd w:fill="FFFFFF" w:color="auto" w:val="clear"/>
            <w:tcMar>
              <w:top w:type="dxa" w:w="80"/>
              <w:left w:type="dxa" w:w="120"/>
              <w:bottom w:type="dxa" w:w="80"/>
              <w:right w:type="dxa" w:w="120"/>
            </w:tcMar>
            <w:vAlign w:val="center"/>
          </w:tcPr>
          <w:p>
            <w:pPr>
              <w:jc w:val="left"/>
            </w:pPr>
            <w:r>
              <w:rPr>
                <w:b w:val="false"/>
                <w:bCs w:val="false"/>
                <w:color w:val="000000"/>
              </w:rPr>
              <w:t xml:space="preserve">Deepen domain-specific data model and AI workflows that are costly to replicate quickly</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Multi-tenant architecture complexity</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Building for multi-tenancy from day one increases initial engineering effort</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Invest early in shared infrastructure patterns to avoid costly re-architecture later</w:t>
            </w:r>
          </w:p>
        </w:tc>
      </w:tr>
    </w:tbl>
    <w:p>
      <w:pPr>
        <w:pStyle w:val="Heading1"/>
        <w:pageBreakBefore/>
        <w:spacing w:after="160" w:before="240"/>
      </w:pPr>
      <w:r>
        <w:rPr>
          <w:b/>
          <w:bCs/>
          <w:color w:val="1F3864"/>
        </w:rPr>
        <w:t xml:space="preserve">28. Assumptions</w:t>
      </w:r>
    </w:p>
    <w:p>
      <w:pPr>
        <w:pStyle w:val="ListParagraph"/>
        <w:numPr>
          <w:ilvl w:val="0"/>
          <w:numId w:val="2"/>
        </w:numPr>
        <w:spacing w:after="90"/>
      </w:pPr>
      <w:r>
        <w:t xml:space="preserve">Institutional customers have reliable internet connectivity at the venues where festivals are held.</w:t>
      </w:r>
    </w:p>
    <w:p>
      <w:pPr>
        <w:pStyle w:val="ListParagraph"/>
        <w:numPr>
          <w:ilvl w:val="0"/>
          <w:numId w:val="2"/>
        </w:numPr>
        <w:spacing w:after="90"/>
      </w:pPr>
      <w:r>
        <w:t xml:space="preserve">A pilot institutional customer (an initial school deployment) is available to validate the product before broader commercialization.</w:t>
      </w:r>
    </w:p>
    <w:p>
      <w:pPr>
        <w:pStyle w:val="ListParagraph"/>
        <w:numPr>
          <w:ilvl w:val="0"/>
          <w:numId w:val="2"/>
        </w:numPr>
        <w:spacing w:after="90"/>
      </w:pPr>
      <w:r>
        <w:t xml:space="preserve">Judges, teachers, and students have access to smartphones or tablets capable of running a modern mobile browser.</w:t>
      </w:r>
    </w:p>
    <w:p>
      <w:pPr>
        <w:pStyle w:val="ListParagraph"/>
        <w:numPr>
          <w:ilvl w:val="0"/>
          <w:numId w:val="2"/>
        </w:numPr>
        <w:spacing w:after="90"/>
      </w:pPr>
      <w:r>
        <w:t xml:space="preserve">Institutions are willing to migrate historical event data or begin fresh within the platform going forward.</w:t>
      </w:r>
    </w:p>
    <w:p>
      <w:pPr>
        <w:pStyle w:val="ListParagraph"/>
        <w:numPr>
          <w:ilvl w:val="0"/>
          <w:numId w:val="2"/>
        </w:numPr>
        <w:spacing w:after="90"/>
      </w:pPr>
      <w:r>
        <w:t xml:space="preserve">AI provider APIs (OpenAI, Gemini) remain commercially available and cost-effective at the scale the platform requires.</w:t>
      </w:r>
    </w:p>
    <w:p>
      <w:pPr>
        <w:pStyle w:val="ListParagraph"/>
        <w:numPr>
          <w:ilvl w:val="0"/>
          <w:numId w:val="2"/>
        </w:numPr>
        <w:spacing w:after="90"/>
      </w:pPr>
      <w:r>
        <w:t xml:space="preserve">Institutional decision-makers value transparency and auditability enough to justify a subscription cost over free, informal tools.</w:t>
      </w:r>
    </w:p>
    <w:p>
      <w:pPr>
        <w:pStyle w:val="Heading1"/>
        <w:pageBreakBefore/>
        <w:spacing w:after="160" w:before="240"/>
      </w:pPr>
      <w:r>
        <w:rPr>
          <w:b/>
          <w:bCs/>
          <w:color w:val="1F3864"/>
        </w:rPr>
        <w:t xml:space="preserve">29. Constraints</w:t>
      </w:r>
    </w:p>
    <w:p>
      <w:pPr>
        <w:pStyle w:val="ListParagraph"/>
        <w:numPr>
          <w:ilvl w:val="0"/>
          <w:numId w:val="2"/>
        </w:numPr>
        <w:spacing w:after="90"/>
      </w:pPr>
      <w:r>
        <w:t xml:space="preserve">Initial development resources are limited to a small founding technical team, constraining the pace of parallel feature development.</w:t>
      </w:r>
    </w:p>
    <w:p>
      <w:pPr>
        <w:pStyle w:val="ListParagraph"/>
        <w:numPr>
          <w:ilvl w:val="0"/>
          <w:numId w:val="2"/>
        </w:numPr>
        <w:spacing w:after="90"/>
      </w:pPr>
      <w:r>
        <w:t xml:space="preserve">The product must remain usable on lower-bandwidth mobile connections common in some institutional venues.</w:t>
      </w:r>
    </w:p>
    <w:p>
      <w:pPr>
        <w:pStyle w:val="ListParagraph"/>
        <w:numPr>
          <w:ilvl w:val="0"/>
          <w:numId w:val="2"/>
        </w:numPr>
        <w:spacing w:after="90"/>
      </w:pPr>
      <w:r>
        <w:t xml:space="preserve">Budget sensitivity among school customers requires a cost structure that scales down for smaller institutions without compromising the core architecture.</w:t>
      </w:r>
    </w:p>
    <w:p>
      <w:pPr>
        <w:pStyle w:val="ListParagraph"/>
        <w:numPr>
          <w:ilvl w:val="0"/>
          <w:numId w:val="2"/>
        </w:numPr>
        <w:spacing w:after="90"/>
      </w:pPr>
      <w:r>
        <w:t xml:space="preserve">AI features depend on third-party model providers, introducing external cost and availability dependencies.</w:t>
      </w:r>
    </w:p>
    <w:p>
      <w:pPr>
        <w:pStyle w:val="ListParagraph"/>
        <w:numPr>
          <w:ilvl w:val="0"/>
          <w:numId w:val="2"/>
        </w:numPr>
        <w:spacing w:after="90"/>
      </w:pPr>
      <w:r>
        <w:t xml:space="preserve">Data protection requirements for minors impose design constraints on data collection, storage, and retention beyond those of a general-purpose SaaS product.</w:t>
      </w:r>
    </w:p>
    <w:p>
      <w:pPr>
        <w:pStyle w:val="Heading1"/>
        <w:pageBreakBefore/>
        <w:spacing w:after="160" w:before="240"/>
      </w:pPr>
      <w:r>
        <w:rPr>
          <w:b/>
          <w:bCs/>
          <w:color w:val="1F3864"/>
        </w:rPr>
        <w:t xml:space="preserve">30. Future Expansion Opportunities</w:t>
      </w:r>
    </w:p>
    <w:p>
      <w:pPr>
        <w:pStyle w:val="ListParagraph"/>
        <w:numPr>
          <w:ilvl w:val="0"/>
          <w:numId w:val="2"/>
        </w:numPr>
        <w:spacing w:after="90"/>
      </w:pPr>
      <w:r>
        <w:t xml:space="preserve">Native mobile applications for judges, teachers, and students to improve the live-event experience.</w:t>
      </w:r>
    </w:p>
    <w:p>
      <w:pPr>
        <w:pStyle w:val="ListParagraph"/>
        <w:numPr>
          <w:ilvl w:val="0"/>
          <w:numId w:val="2"/>
        </w:numPr>
        <w:spacing w:after="90"/>
      </w:pPr>
      <w:r>
        <w:t xml:space="preserve">A commerce module supporting ticketing and payment processing for public or fundraising events.</w:t>
      </w:r>
    </w:p>
    <w:p>
      <w:pPr>
        <w:pStyle w:val="ListParagraph"/>
        <w:numPr>
          <w:ilvl w:val="0"/>
          <w:numId w:val="2"/>
        </w:numPr>
        <w:spacing w:after="90"/>
      </w:pPr>
      <w:r>
        <w:t xml:space="preserve">A white-label offering allowing event management companies to run client festivals under their own branding on the EventFlow AI infrastructure.</w:t>
      </w:r>
    </w:p>
    <w:p>
      <w:pPr>
        <w:pStyle w:val="ListParagraph"/>
        <w:numPr>
          <w:ilvl w:val="0"/>
          <w:numId w:val="2"/>
        </w:numPr>
        <w:spacing w:after="90"/>
      </w:pPr>
      <w:r>
        <w:t xml:space="preserve">Cross-organization, opt-in benchmarking analytics for institutions wanting to compare their event outcomes anonymously against peers.</w:t>
      </w:r>
    </w:p>
    <w:p>
      <w:pPr>
        <w:pStyle w:val="ListParagraph"/>
        <w:numPr>
          <w:ilvl w:val="0"/>
          <w:numId w:val="2"/>
        </w:numPr>
        <w:spacing w:after="90"/>
      </w:pPr>
      <w:r>
        <w:t xml:space="preserve">Integration marketplace for third-party tools (school ERPs, communication platforms, and payment gateways).</w:t>
      </w:r>
    </w:p>
    <w:p>
      <w:pPr>
        <w:pStyle w:val="ListParagraph"/>
        <w:numPr>
          <w:ilvl w:val="0"/>
          <w:numId w:val="2"/>
        </w:numPr>
        <w:spacing w:after="90"/>
      </w:pPr>
      <w:r>
        <w:t xml:space="preserve">Expansion of the AI Module with predictive attendance forecasting and judging-consistency analysis.</w:t>
      </w:r>
    </w:p>
    <w:p>
      <w:pPr>
        <w:pStyle w:val="ListParagraph"/>
        <w:numPr>
          <w:ilvl w:val="0"/>
          <w:numId w:val="2"/>
        </w:numPr>
        <w:spacing w:after="90"/>
      </w:pPr>
      <w:r>
        <w:t xml:space="preserve">Government and public-sector offering with enhanced compliance, accessibility, and reporting features.</w:t>
      </w:r>
    </w:p>
    <w:p>
      <w:pPr>
        <w:pStyle w:val="Heading1"/>
        <w:pageBreakBefore/>
        <w:spacing w:after="160" w:before="240"/>
      </w:pPr>
      <w:r>
        <w:rPr>
          <w:b/>
          <w:bCs/>
          <w:color w:val="1F3864"/>
        </w:rPr>
        <w:t xml:space="preserve">31. Conclusion</w:t>
      </w:r>
    </w:p>
    <w:p>
      <w:pPr>
        <w:spacing w:after="160" w:line="300"/>
        <w:jc w:val="both"/>
      </w:pPr>
      <w:r>
        <w:t xml:space="preserve">EventFlow AI addresses a clear and persistent operational problem — the manual, fragmented, and error-prone management of institutional events and festivals — with a purpose-built, multi-tenant SaaS platform and a native AI layer embedded throughout the product rather than added as an afterthought. The product's initial focus on schools provides a fast, well-defined path to a first commercial deployment, while its underlying architecture is deliberately built to expand into colleges, universities, NGOs, government institutions, and corporate organizations without requiring fundamental re-architecture.</w:t>
      </w:r>
    </w:p>
    <w:p>
      <w:pPr>
        <w:spacing w:after="160" w:line="300"/>
        <w:jc w:val="both"/>
      </w:pPr>
      <w:r>
        <w:t xml:space="preserve">This document establishes the shared vision, scope, and roadmap required to align engineering, product, and investment stakeholders as EventFlow AI moves from planning into active development. Subsequent documents — including detailed Software Requirements Specifications, system architecture diagrams, and API specifications — will build directly on the vision, scope, and principles established here.</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pPr>
    <w:r>
      <w:rPr>
        <w:color w:val="595959"/>
        <w:sz w:val="16"/>
        <w:szCs w:val="16"/>
      </w:rPr>
      <w:t xml:space="preserve">EventFlow AI — Product Vision Document</w:t>
    </w:r>
    <w:r>
      <w:rPr>
        <w:color w:val="595959"/>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pPr>
    <w:r>
      <w:rPr>
        <w:color w:val="595959"/>
        <w:sz w:val="16"/>
        <w:szCs w:val="16"/>
      </w:rPr>
      <w:t xml:space="preserve">EventFlow AI — Product Vision Document</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2026-07-07T10:55:27.212Z</dcterms:created>
  <dcterms:modified xsi:type="dcterms:W3CDTF">2026-07-07T10:55:27.213Z</dcterms:modified>
</cp:coreProperties>
</file>

<file path=docProps/custom.xml><?xml version="1.0" encoding="utf-8"?>
<Properties xmlns="http://schemas.openxmlformats.org/officeDocument/2006/custom-properties" xmlns:vt="http://schemas.openxmlformats.org/officeDocument/2006/docPropsVTypes"/>
</file>