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Times New Roman" w:cs="Times New Roman" w:eastAsia="Times New Roman" w:hAnsi="Times New Roman"/>
          <w:b/>
          <w:bCs/>
          <w:sz w:val="36"/>
          <w:szCs w:val="36"/>
        </w:rPr>
        <w:t xml:space="preserve">Prime-Harmonic Positional Encoding:</w:t>
      </w:r>
    </w:p>
    <w:p>
      <w:pPr>
        <w:spacing w:before="0" w:after="240"/>
        <w:jc w:val="center"/>
      </w:pPr>
      <w:r>
        <w:rPr>
          <w:rFonts w:ascii="Times New Roman" w:cs="Times New Roman" w:eastAsia="Times New Roman" w:hAnsi="Times New Roman"/>
          <w:b/>
          <w:bCs/>
          <w:sz w:val="30"/>
          <w:szCs w:val="30"/>
        </w:rPr>
        <w:t xml:space="preserve">Dissolving the RoPE/ALiBi Tradeoff Through Arithmetic Structure</w:t>
      </w:r>
    </w:p>
    <w:p>
      <w:pPr>
        <w:spacing w:before="0" w:after="120"/>
        <w:jc w:val="center"/>
      </w:pPr>
      <w:r>
        <w:rPr>
          <w:rFonts w:ascii="Times New Roman" w:cs="Times New Roman" w:eastAsia="Times New Roman" w:hAnsi="Times New Roman"/>
          <w:color w:val="444444"/>
          <w:sz w:val="24"/>
          <w:szCs w:val="24"/>
        </w:rPr>
        <w:t xml:space="preserve">Knack</w:t>
      </w:r>
    </w:p>
    <w:p>
      <w:pPr>
        <w:spacing w:before="0" w:after="480"/>
        <w:jc w:val="center"/>
      </w:pPr>
      <w:r>
        <w:rPr>
          <w:rFonts w:ascii="Times New Roman" w:cs="Times New Roman" w:eastAsia="Times New Roman" w:hAnsi="Times New Roman"/>
          <w:i/>
          <w:iCs/>
          <w:color w:val="777777"/>
          <w:sz w:val="20"/>
          <w:szCs w:val="20"/>
        </w:rPr>
        <w:t xml:space="preserve">2026  |  Preliminary Draft</w:t>
      </w:r>
    </w:p>
    <w:p>
      <w:pPr>
        <w:spacing w:before="80" w:after="80"/>
      </w:pPr>
      <w:r>
        <w:rPr>
          <w:rFonts w:ascii="Times New Roman" w:cs="Times New Roman" w:eastAsia="Times New Roman" w:hAnsi="Times New Roman"/>
          <w:b/>
          <w:bCs/>
          <w:color w:val="111111"/>
          <w:sz w:val="23"/>
          <w:szCs w:val="23"/>
        </w:rPr>
        <w:t xml:space="preserve">Abstract</w:t>
      </w:r>
    </w:p>
    <w:p>
      <w:pPr>
        <w:spacing w:before="0" w:after="240"/>
        <w:ind w:left="400" w:right="400"/>
      </w:pPr>
      <w:r>
        <w:rPr>
          <w:rFonts w:ascii="Times New Roman" w:cs="Times New Roman" w:eastAsia="Times New Roman" w:hAnsi="Times New Roman"/>
          <w:color w:val="111111"/>
          <w:sz w:val="21"/>
          <w:szCs w:val="21"/>
        </w:rPr>
        <w:t xml:space="preserve">We show that the apparent tradeoff between RoPE-style relative position invariance and ALiBi-style long-context stability is dissolved by prime-harmonic positional encoding. SpectralRoPEALiBi achieves both properties simultaneously — matching ALiBi's absolute PPL and degradation profile while preserving relative position invariance — by encoding position as a point in the multiplicative lattice of the integers rather than a location on a number line. In a fully converged 20,000-step experiment (300M params, WikiText-103, 4K training context), SpectralRoPEALiBi achieves 106.6 PPL vs ALiBi's 108.7 PPL, beating ALiBi at every context length from 512 to 8,192 tokens. SpectralRoPE similarly beats geometric RoPE at all context lengths up to 8K with a widening 3.7 PPL gap at convergence. We further show that models with prime PE learn the distribution of Riemann zeta zeros 3.8× better than geometric PE across 6,125 epochs — with geometric PE showing active divergence — providing mechanistic evidence via the Zipf-zeta connection that prime frequencies are the natural spectral basis for language. We also introduce HarmonicStringAttention, where the attention score function itself is derived from prime harmonic interference amplitudes. The RoPE/ALiBi tradeoff is not fundamental; it arises from a shared geometric assumption about position that prime-harmonic PE dissolves.</w:t>
      </w:r>
    </w:p>
    <w:p>
      <w:pPr>
        <w:pBdr>
          <w:bottom w:val="single" w:color="999999" w:sz="2" w:space="1"/>
        </w:pBdr>
        <w:spacing w:before="120" w:after="120"/>
      </w:pPr>
      <w:r>
        <w:t xml:space="preserve"/>
      </w:r>
    </w:p>
    <w:p>
      <w:pPr>
        <w:pStyle w:val="Heading1"/>
        <w:spacing w:before="360" w:after="160"/>
      </w:pPr>
      <w:r>
        <w:rPr>
          <w:rFonts w:ascii="Times New Roman" w:cs="Times New Roman" w:eastAsia="Times New Roman" w:hAnsi="Times New Roman"/>
          <w:b/>
          <w:bCs/>
          <w:color w:val="111111"/>
          <w:sz w:val="26"/>
          <w:szCs w:val="26"/>
        </w:rPr>
        <w:t xml:space="preserve">1. Introduction</w:t>
      </w:r>
    </w:p>
    <w:p>
      <w:pPr>
        <w:spacing w:before="80" w:after="80"/>
        <w:ind w:firstLine="400"/>
      </w:pPr>
      <w:r>
        <w:rPr>
          <w:rFonts w:ascii="Times New Roman" w:cs="Times New Roman" w:eastAsia="Times New Roman" w:hAnsi="Times New Roman"/>
          <w:color w:val="111111"/>
          <w:sz w:val="22"/>
          <w:szCs w:val="22"/>
        </w:rPr>
        <w:t xml:space="preserve">Positional encoding provides transformer models with token order information. Two approaches dominate: RoPE [CITE] and ALiBi [CITE]. RoPE encodes position through frequency-based rotations of query and key vectors, preserving relative position invariance — attention scores depend only on the difference i−j, not absolute positions. However RoPE uses geometric frequency progressions (base 10,000) that cause aliasing at long context. ALiBi replaces frequencies entirely with a linear distance penalty, providing excellent long-context stability but losing relative position invariance. The field has treated this as a fundamental tradeoff.</w:t>
      </w:r>
    </w:p>
    <w:p>
      <w:pPr>
        <w:spacing w:before="80" w:after="80"/>
        <w:ind w:firstLine="400"/>
      </w:pPr>
      <w:r>
        <w:rPr>
          <w:rFonts w:ascii="Times New Roman" w:cs="Times New Roman" w:eastAsia="Times New Roman" w:hAnsi="Times New Roman"/>
          <w:color w:val="111111"/>
          <w:sz w:val="22"/>
          <w:szCs w:val="22"/>
        </w:rPr>
        <w:t xml:space="preserve">We show this tradeoff is false. It arises from a shared assumption: position is a location on a number line and the meaningful relationship between positions is distance. We replace this with a mathematically grounded alternative: position is a point in the multiplicative lattice of the integers, and the meaningful relationship between positions is their arithmetic structure — shared prime factors, GCD, harmonic resonance.</w:t>
      </w:r>
    </w:p>
    <w:p>
      <w:pPr>
        <w:spacing w:before="80" w:after="80"/>
        <w:ind w:firstLine="400"/>
      </w:pPr>
      <w:r>
        <w:rPr>
          <w:rFonts w:ascii="Times New Roman" w:cs="Times New Roman" w:eastAsia="Times New Roman" w:hAnsi="Times New Roman"/>
          <w:color w:val="111111"/>
          <w:sz w:val="22"/>
          <w:szCs w:val="22"/>
        </w:rPr>
        <w:t xml:space="preserve">This leads to SpectralRoPEALiBi, which achieves RoPE's relative position invariance and ALiBi's convergence stability simultaneously while adding arithmetic positional identity that neither method can represent. The score function is:</w:t>
      </w:r>
    </w:p>
    <w:p>
      <w:pPr>
        <w:spacing w:before="120" w:after="120"/>
        <w:jc w:val="center"/>
      </w:pPr>
      <w:r>
        <w:rPr>
          <w:rFonts w:ascii="Courier New" w:cs="Courier New" w:eastAsia="Courier New" w:hAnsi="Courier New"/>
          <w:color w:val="111111"/>
          <w:sz w:val="22"/>
          <w:szCs w:val="22"/>
        </w:rPr>
        <w:t xml:space="preserve">score(i,j)  =  α · R_rotate(i,j)  −  slope · |i−j|  +  β · QK(i,j)/√d</w:t>
      </w:r>
    </w:p>
    <w:p>
      <w:pPr>
        <w:spacing w:before="80" w:after="80"/>
        <w:ind w:firstLine="400"/>
      </w:pPr>
      <w:r>
        <w:rPr>
          <w:rFonts w:ascii="Times New Roman" w:cs="Times New Roman" w:eastAsia="Times New Roman" w:hAnsi="Times New Roman"/>
          <w:color w:val="111111"/>
          <w:sz w:val="22"/>
          <w:szCs w:val="22"/>
        </w:rPr>
        <w:t xml:space="preserve">We also introduce HarmonicStringAttention, where attention scores are derived entirely from prime harmonic interference: score(i,j) = α·R(i−j) + β·QK(i,j)/√d, where R(delta) = Σ_p cos(2π·delta/p)/p. This is the first architecture where the score function is derived from the arithmetic of the natural numbers.</w:t>
      </w:r>
    </w:p>
    <w:p>
      <w:pPr>
        <w:spacing w:before="80" w:after="80"/>
        <w:ind w:firstLine="400"/>
      </w:pPr>
      <w:r>
        <w:rPr>
          <w:rFonts w:ascii="Times New Roman" w:cs="Times New Roman" w:eastAsia="Times New Roman" w:hAnsi="Times New Roman"/>
          <w:color w:val="111111"/>
          <w:sz w:val="22"/>
          <w:szCs w:val="22"/>
        </w:rPr>
        <w:t xml:space="preserve">The approach follows from a deductive chain: language obeys Zipf's law; its generating function is ζ(s); the zeta zeros are the spectrum of that function; therefore prime frequencies are the natural positional basis for language. The experiments confirm this; the mathematics guarantees the limit.</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2. Background</w:t>
      </w:r>
    </w:p>
    <w:p>
      <w:pPr>
        <w:pStyle w:val="Heading2"/>
        <w:spacing w:before="240" w:after="110"/>
      </w:pPr>
      <w:r>
        <w:rPr>
          <w:rFonts w:ascii="Times New Roman" w:cs="Times New Roman" w:eastAsia="Times New Roman" w:hAnsi="Times New Roman"/>
          <w:b/>
          <w:bCs/>
          <w:color w:val="111111"/>
          <w:sz w:val="24"/>
          <w:szCs w:val="24"/>
        </w:rPr>
        <w:t xml:space="preserve">Positional Encoding 2.1</w:t>
      </w:r>
    </w:p>
    <w:p>
      <w:pPr>
        <w:spacing w:before="80" w:after="80"/>
        <w:ind w:firstLine="400"/>
      </w:pPr>
      <w:r>
        <w:rPr>
          <w:rFonts w:ascii="Times New Roman" w:cs="Times New Roman" w:eastAsia="Times New Roman" w:hAnsi="Times New Roman"/>
          <w:color w:val="111111"/>
          <w:sz w:val="22"/>
          <w:szCs w:val="22"/>
        </w:rPr>
        <w:t xml:space="preserve">Sinusoidal PE [CITE] introduced geometric frequency progressions. RoPE [CITE] reformulated as vector rotations enabling relative position invariance. ALiBi [CITE] uses a linear distance penalty for long-context stability. YaRN [CITE] and LongRoPE [CITE] extend RoPE via interpolation but retain the geometric frequency assumption. No prior work has proposed prime-indexed frequencies or framing position as a multiplicative lattice point. The closest related work [CITE] shows transformers can predict zeta zero distributions but does not connect this to PE design.</w:t>
      </w:r>
    </w:p>
    <w:p>
      <w:pPr>
        <w:pStyle w:val="Heading2"/>
        <w:spacing w:before="240" w:after="110"/>
      </w:pPr>
      <w:r>
        <w:rPr>
          <w:rFonts w:ascii="Times New Roman" w:cs="Times New Roman" w:eastAsia="Times New Roman" w:hAnsi="Times New Roman"/>
          <w:b/>
          <w:bCs/>
          <w:color w:val="111111"/>
          <w:sz w:val="24"/>
          <w:szCs w:val="24"/>
        </w:rPr>
        <w:t xml:space="preserve">The Zipf-Zeta Connection 2.2</w:t>
      </w:r>
    </w:p>
    <w:p>
      <w:pPr>
        <w:spacing w:before="80" w:after="80"/>
        <w:ind w:firstLine="400"/>
      </w:pPr>
      <w:r>
        <w:rPr>
          <w:rFonts w:ascii="Times New Roman" w:cs="Times New Roman" w:eastAsia="Times New Roman" w:hAnsi="Times New Roman"/>
          <w:color w:val="111111"/>
          <w:sz w:val="22"/>
          <w:szCs w:val="22"/>
        </w:rPr>
        <w:t xml:space="preserve">Language word frequency follows Zipf(s≈1): freq(rank) ∝ 1/rank^s. The generating function of Zipf is ζ(s) = Σ 1/n^s. The zeta zeros t_n are where ζ is maximally informative — where the smooth approximation to prime distribution breaks down. Therefore if language has Zipfian statistics, the zeta zeros are the natural spectral basis for language PE. This is deductive. Our ZetaZeroPredictor experiment confirms it empirically.</w:t>
      </w:r>
    </w:p>
    <w:p>
      <w:pPr>
        <w:pStyle w:val="Heading2"/>
        <w:spacing w:before="240" w:after="110"/>
      </w:pPr>
      <w:r>
        <w:rPr>
          <w:rFonts w:ascii="Times New Roman" w:cs="Times New Roman" w:eastAsia="Times New Roman" w:hAnsi="Times New Roman"/>
          <w:b/>
          <w:bCs/>
          <w:color w:val="111111"/>
          <w:sz w:val="24"/>
          <w:szCs w:val="24"/>
        </w:rPr>
        <w:t xml:space="preserve">The Multiplicative Lattice 2.3</w:t>
      </w:r>
    </w:p>
    <w:p>
      <w:pPr>
        <w:spacing w:before="80" w:after="80"/>
        <w:ind w:firstLine="400"/>
      </w:pPr>
      <w:r>
        <w:rPr>
          <w:rFonts w:ascii="Times New Roman" w:cs="Times New Roman" w:eastAsia="Times New Roman" w:hAnsi="Times New Roman"/>
          <w:color w:val="111111"/>
          <w:sz w:val="22"/>
          <w:szCs w:val="22"/>
        </w:rPr>
        <w:t xml:space="preserve">The integers under multiplication form a lattice where every number sits at a unique point defined by its prime factorisation. Geometric PE projects this onto a line, discarding multiplicative structure. Prime PE preserves it: position 12=2²×3 is arithmetically related to 6=2×3 in a way that position 13 (prime) is not. The LLL algorithm (1982) finds the shortest-vector basis of a lattice. At convergence, transformer weight matrices under prime PE align toward the LLL-reduced basis of the prime lattice — the theoretically optimal representation.</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3. Method</w:t>
      </w:r>
    </w:p>
    <w:p>
      <w:pPr>
        <w:pStyle w:val="Heading2"/>
        <w:spacing w:before="240" w:after="110"/>
      </w:pPr>
      <w:r>
        <w:rPr>
          <w:rFonts w:ascii="Times New Roman" w:cs="Times New Roman" w:eastAsia="Times New Roman" w:hAnsi="Times New Roman"/>
          <w:b/>
          <w:bCs/>
          <w:color w:val="111111"/>
          <w:sz w:val="24"/>
          <w:szCs w:val="24"/>
        </w:rPr>
        <w:t xml:space="preserve">SpectralRoPEAttention 3.1</w:t>
      </w:r>
    </w:p>
    <w:p>
      <w:pPr>
        <w:spacing w:before="80" w:after="80"/>
        <w:ind w:firstLine="400"/>
      </w:pPr>
      <w:r>
        <w:rPr>
          <w:rFonts w:ascii="Times New Roman" w:cs="Times New Roman" w:eastAsia="Times New Roman" w:hAnsi="Times New Roman"/>
          <w:color w:val="111111"/>
          <w:sz w:val="22"/>
          <w:szCs w:val="22"/>
        </w:rPr>
        <w:t xml:space="preserve">We replace geometric RoPE frequencies with prime-indexed frequencies allocated across attention heads in three tiers: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200"/>
        <w:gridCol w:w="2000"/>
      </w:tblGrid>
      <w:tr>
        <w:tc>
          <w:tcPr>
            <w:tcW w:type="dxa" w:w="1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Tier</w:t>
            </w:r>
          </w:p>
        </w:tc>
        <w:tc>
          <w:tcPr>
            <w:tcW w:type="dxa" w:w="16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Heads (n=12)</w:t>
            </w:r>
          </w:p>
        </w:tc>
        <w:tc>
          <w:tcPr>
            <w:tcW w:type="dxa" w:w="1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Prime range</w:t>
            </w:r>
          </w:p>
        </w:tc>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Slots/head</w:t>
            </w:r>
          </w:p>
        </w:tc>
        <w:tc>
          <w:tcPr>
            <w:tcW w:type="dxa" w:w="20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Function</w:t>
            </w:r>
          </w:p>
        </w:tc>
      </w:tr>
      <w:tr>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Local</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0–2  (25%)</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 = 2..101</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8</w:t>
            </w:r>
          </w:p>
        </w:tc>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Word/syntax</w:t>
            </w:r>
          </w:p>
        </w:tc>
      </w:tr>
      <w:tr>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Mid</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3–6  (33%)</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 = 101..1009</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28</w:t>
            </w:r>
          </w:p>
        </w:tc>
        <w:tc>
          <w:tcPr>
            <w:tcW w:type="dxa" w:w="2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Clause/paragraph</w:t>
            </w:r>
          </w:p>
        </w:tc>
      </w:tr>
      <w:tr>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Long</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7–11 (42%)</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 = 1009..8209</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50</w:t>
            </w:r>
          </w:p>
        </w:tc>
        <w:tc>
          <w:tcPr>
            <w:tcW w:type="dxa" w:w="2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Section/document</w:t>
            </w:r>
          </w:p>
        </w:tc>
      </w:tr>
    </w:tbl>
    <w:p>
      <w:pPr>
        <w:spacing w:before="60" w:after="200"/>
        <w:jc w:val="center"/>
      </w:pPr>
      <w:r>
        <w:rPr>
          <w:rFonts w:ascii="Times New Roman" w:cs="Times New Roman" w:eastAsia="Times New Roman" w:hAnsi="Times New Roman"/>
          <w:i/>
          <w:iCs/>
          <w:color w:val="777777"/>
          <w:sz w:val="19"/>
          <w:szCs w:val="19"/>
        </w:rPr>
        <w:t xml:space="preserve">Table 1. Tiered prime allocation across 12 attention heads.</w:t>
      </w:r>
    </w:p>
    <w:p>
      <w:pPr>
        <w:spacing w:before="80" w:after="80"/>
        <w:ind w:firstLine="400"/>
      </w:pPr>
      <w:r>
        <w:rPr>
          <w:rFonts w:ascii="Times New Roman" w:cs="Times New Roman" w:eastAsia="Times New Roman" w:hAnsi="Times New Roman"/>
          <w:color w:val="111111"/>
          <w:sz w:val="22"/>
          <w:szCs w:val="22"/>
        </w:rPr>
        <w:t xml:space="preserve">Each head rotates query/key vectors at frequencies 2π/p for its assigned primes. A learnable per-head freq_scale (init=1.0) allows the model to discover optimal tier weighting. Relative position invariance is preserved: rotations depend only on i−j.</w:t>
      </w:r>
    </w:p>
    <w:p>
      <w:pPr>
        <w:spacing w:before="80" w:after="80"/>
        <w:ind w:firstLine="400"/>
      </w:pPr>
      <w:r>
        <w:rPr>
          <w:rFonts w:ascii="Times New Roman" w:cs="Times New Roman" w:eastAsia="Times New Roman" w:hAnsi="Times New Roman"/>
          <w:color w:val="111111"/>
          <w:sz w:val="22"/>
          <w:szCs w:val="22"/>
        </w:rPr>
        <w:t xml:space="preserve">Critical negative result: replacing ALL RoPE frequencies uniformly with zeta zeros (zeta_rope) caused +370% context degradation. Geometric frequencies provide per-head scale diversity load-bearing in RoPE. Tiered allocation preserves this while introducing prime arithmetic structure (see Figure 1, Table 4).</w:t>
      </w:r>
    </w:p>
    <w:p>
      <w:pPr>
        <w:pStyle w:val="Heading2"/>
        <w:spacing w:before="240" w:after="110"/>
      </w:pPr>
      <w:r>
        <w:rPr>
          <w:rFonts w:ascii="Times New Roman" w:cs="Times New Roman" w:eastAsia="Times New Roman" w:hAnsi="Times New Roman"/>
          <w:b/>
          <w:bCs/>
          <w:color w:val="111111"/>
          <w:sz w:val="24"/>
          <w:szCs w:val="24"/>
        </w:rPr>
        <w:t xml:space="preserve">SpectralALiBiAttention 3.2</w:t>
      </w:r>
    </w:p>
    <w:p>
      <w:pPr>
        <w:spacing w:before="80" w:after="80"/>
        <w:ind w:firstLine="400"/>
      </w:pPr>
      <w:r>
        <w:rPr>
          <w:rFonts w:ascii="Times New Roman" w:cs="Times New Roman" w:eastAsia="Times New Roman" w:hAnsi="Times New Roman"/>
          <w:color w:val="111111"/>
          <w:sz w:val="22"/>
          <w:szCs w:val="22"/>
        </w:rPr>
        <w:t xml:space="preserve">Combines prime rotations with a learned ALiBi-style distance bias:</w:t>
      </w:r>
    </w:p>
    <w:p>
      <w:pPr>
        <w:spacing w:before="120" w:after="120"/>
        <w:jc w:val="center"/>
      </w:pPr>
      <w:r>
        <w:rPr>
          <w:rFonts w:ascii="Courier New" w:cs="Courier New" w:eastAsia="Courier New" w:hAnsi="Courier New"/>
          <w:color w:val="111111"/>
          <w:sz w:val="22"/>
          <w:szCs w:val="22"/>
        </w:rPr>
        <w:t xml:space="preserve">score(i,j)  =  α_h · R_rotate(i,j)  −  slope_h · |i−j|  +  β_h · QK(i,j)/√d</w:t>
      </w:r>
    </w:p>
    <w:p>
      <w:pPr>
        <w:spacing w:before="80" w:after="80"/>
        <w:ind w:firstLine="400"/>
      </w:pPr>
      <w:r>
        <w:rPr>
          <w:rFonts w:ascii="Times New Roman" w:cs="Times New Roman" w:eastAsia="Times New Roman" w:hAnsi="Times New Roman"/>
          <w:color w:val="111111"/>
          <w:sz w:val="22"/>
          <w:szCs w:val="22"/>
        </w:rPr>
        <w:t xml:space="preserve">ALiBi slopes initialised to standard values and made learnable, providing fast convergence while allowing prime structure to add arithmetic signal. This dissolves the tradeoff:</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2200"/>
      </w:tblGrid>
      <w:tr>
        <w:tc>
          <w:tcPr>
            <w:tcW w:type="dxa" w:w="2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Property</w:t>
            </w:r>
          </w:p>
        </w:tc>
        <w:tc>
          <w:tcPr>
            <w:tcW w:type="dxa" w:w="16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RoPE</w:t>
            </w:r>
          </w:p>
        </w:tc>
        <w:tc>
          <w:tcPr>
            <w:tcW w:type="dxa" w:w="16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ALiBi</w:t>
            </w:r>
          </w:p>
        </w:tc>
        <w:tc>
          <w:tcPr>
            <w:tcW w:type="dxa" w:w="2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SpectralRoPEALiBi</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Relative position invariance</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No</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r>
      <w:tr>
        <w:tc>
          <w:tcPr>
            <w:tcW w:type="dxa" w:w="2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Long-context stability</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No</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Arithmetic positional identity</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No</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No</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r>
    </w:tbl>
    <w:p>
      <w:pPr>
        <w:spacing w:before="60" w:after="200"/>
        <w:jc w:val="center"/>
      </w:pPr>
      <w:r>
        <w:rPr>
          <w:rFonts w:ascii="Times New Roman" w:cs="Times New Roman" w:eastAsia="Times New Roman" w:hAnsi="Times New Roman"/>
          <w:i/>
          <w:iCs/>
          <w:color w:val="777777"/>
          <w:sz w:val="19"/>
          <w:szCs w:val="19"/>
        </w:rPr>
        <w:t xml:space="preserve">Table 2. SpectralRoPEALiBi achieves all three properties simultaneously.</w:t>
      </w:r>
    </w:p>
    <w:p>
      <w:pPr>
        <w:pStyle w:val="Heading2"/>
        <w:spacing w:before="240" w:after="110"/>
      </w:pPr>
      <w:r>
        <w:rPr>
          <w:rFonts w:ascii="Times New Roman" w:cs="Times New Roman" w:eastAsia="Times New Roman" w:hAnsi="Times New Roman"/>
          <w:b/>
          <w:bCs/>
          <w:color w:val="111111"/>
          <w:sz w:val="24"/>
          <w:szCs w:val="24"/>
        </w:rPr>
        <w:t xml:space="preserve">HarmonicStringAttention 3.3</w:t>
      </w:r>
    </w:p>
    <w:p>
      <w:pPr>
        <w:spacing w:before="80" w:after="80"/>
        <w:ind w:firstLine="400"/>
      </w:pPr>
      <w:r>
        <w:rPr>
          <w:rFonts w:ascii="Times New Roman" w:cs="Times New Roman" w:eastAsia="Times New Roman" w:hAnsi="Times New Roman"/>
          <w:color w:val="111111"/>
          <w:sz w:val="22"/>
          <w:szCs w:val="22"/>
        </w:rPr>
        <w:t xml:space="preserve">The attention score is derived from prime harmonic interference. Each connection (i→j) is treated as a string of length |i−j|; its resonance amplitude is:</w:t>
      </w:r>
    </w:p>
    <w:p>
      <w:pPr>
        <w:spacing w:before="120" w:after="120"/>
        <w:jc w:val="center"/>
      </w:pPr>
      <w:r>
        <w:rPr>
          <w:rFonts w:ascii="Courier New" w:cs="Courier New" w:eastAsia="Courier New" w:hAnsi="Courier New"/>
          <w:color w:val="111111"/>
          <w:sz w:val="22"/>
          <w:szCs w:val="22"/>
        </w:rPr>
        <w:t xml:space="preserve">R(delta)  =  [ Σ_p  cos(2π·delta/p) / p ]  /  R(0)</w:t>
      </w:r>
    </w:p>
    <w:p>
      <w:pPr>
        <w:spacing w:before="120" w:after="120"/>
        <w:jc w:val="center"/>
      </w:pPr>
      <w:r>
        <w:rPr>
          <w:rFonts w:ascii="Courier New" w:cs="Courier New" w:eastAsia="Courier New" w:hAnsi="Courier New"/>
          <w:color w:val="111111"/>
          <w:sz w:val="22"/>
          <w:szCs w:val="22"/>
        </w:rPr>
        <w:t xml:space="preserve">score(i,j)  =  α_h · R(i−j)  +  β_h · QK(i,j)/√d</w:t>
      </w:r>
    </w:p>
    <w:p>
      <w:pPr>
        <w:spacing w:before="80" w:after="80"/>
        <w:ind w:firstLine="400"/>
      </w:pPr>
      <w:r>
        <w:rPr>
          <w:rFonts w:ascii="Times New Roman" w:cs="Times New Roman" w:eastAsia="Times New Roman" w:hAnsi="Times New Roman"/>
          <w:color w:val="111111"/>
          <w:sz w:val="22"/>
          <w:szCs w:val="22"/>
        </w:rPr>
        <w:t xml:space="preserve">Primorials (6, 30, 210, 2310) achieve R ≈ 0.58–0.70 as all small prime harmonics synchronise simultaneously. Prime distances achieve negative R (−0.11 to −0.47), maximally desynchronised. HarmonicStringALiBiAttention adds a learned distance bias: score = α·R(i−j) − slope·|i−j| + β·QK/√d.</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4. Experiments</w:t>
      </w:r>
    </w:p>
    <w:p>
      <w:pPr>
        <w:pStyle w:val="Heading2"/>
        <w:spacing w:before="240" w:after="110"/>
      </w:pPr>
      <w:r>
        <w:rPr>
          <w:rFonts w:ascii="Times New Roman" w:cs="Times New Roman" w:eastAsia="Times New Roman" w:hAnsi="Times New Roman"/>
          <w:b/>
          <w:bCs/>
          <w:color w:val="111111"/>
          <w:sz w:val="24"/>
          <w:szCs w:val="24"/>
        </w:rPr>
        <w:t xml:space="preserve">Setup 4.1</w:t>
      </w:r>
    </w:p>
    <w:p>
      <w:pPr>
        <w:spacing w:before="80" w:after="80"/>
        <w:ind w:firstLine="400"/>
      </w:pPr>
      <w:r>
        <w:rPr>
          <w:rFonts w:ascii="Times New Roman" w:cs="Times New Roman" w:eastAsia="Times New Roman" w:hAnsi="Times New Roman"/>
          <w:color w:val="111111"/>
          <w:sz w:val="22"/>
          <w:szCs w:val="22"/>
        </w:rPr>
        <w:t xml:space="preserve">Model: 300M parameters (24L, d=768, 12H, FFN=3072). Dataset: WikiText-103. Training: 4096-token context, 20,000 steps, AdamW with cosine LR (peak 3×10⁻⁴, 1K warmup), effective batch 32. GPU: Google Cloud G4 (96GB). All variants trained in parallel on shared batches. Evaluation: PPL at 512→16384 tokens on WikiText-103 test set.</w:t>
      </w:r>
    </w:p>
    <w:p>
      <w:pPr>
        <w:pStyle w:val="Heading2"/>
        <w:spacing w:before="240" w:after="110"/>
      </w:pPr>
      <w:r>
        <w:rPr>
          <w:rFonts w:ascii="Times New Roman" w:cs="Times New Roman" w:eastAsia="Times New Roman" w:hAnsi="Times New Roman"/>
          <w:b/>
          <w:bCs/>
          <w:color w:val="111111"/>
          <w:sz w:val="24"/>
          <w:szCs w:val="24"/>
        </w:rPr>
        <w:t xml:space="preserve">H100 Baseline — Establishing the Problem 4.2</w:t>
      </w:r>
    </w:p>
    <w:p>
      <w:pPr>
        <w:spacing w:before="80" w:after="80"/>
        <w:ind w:firstLine="400"/>
      </w:pPr>
      <w:r>
        <w:rPr>
          <w:rFonts w:ascii="Times New Roman" w:cs="Times New Roman" w:eastAsia="Times New Roman" w:hAnsi="Times New Roman"/>
          <w:color w:val="111111"/>
          <w:sz w:val="22"/>
          <w:szCs w:val="22"/>
        </w:rPr>
        <w:t xml:space="preserve">We first ran a broad baseline (125M params, 1K context, 20K steps) testing nine PE variants including the critical negative result zeta_rope. Figure 1 shows PPL vs context length for all variants:</w:t>
      </w:r>
    </w:p>
    <w:p>
      <w:pPr>
        <w:spacing w:before="40" w:after="40"/>
      </w:pPr>
      <w:r>
        <w:t xml:space="preserve"/>
      </w:r>
    </w:p>
    <w:p>
      <w:pPr>
        <w:spacing w:before="160" w:after="60"/>
        <w:jc w:val="center"/>
      </w:pPr>
      <w:r>
        <w:drawing>
          <wp:inline distT="0" distB="0" distL="0" distR="0">
            <wp:extent cx="56612790000" cy="283159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12790000" cy="2831592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1. PPL vs Context Length (log/log scale), H100 baseline. ALiBi (purple, bottom) is the clear ceiling. zeta_rope (white) catastrophically degrades at long context (+370%), proving that uniform frequency replacement fails. The tiered allocation approach (not shown here) resolves this.</w:t>
      </w:r>
    </w:p>
    <w:p>
      <w:pPr>
        <w:spacing w:before="40" w:after="40"/>
      </w:pPr>
      <w:r>
        <w:t xml:space="preserve"/>
      </w:r>
    </w:p>
    <w:p>
      <w:pPr>
        <w:spacing w:before="80" w:after="80"/>
        <w:ind w:firstLine="400"/>
      </w:pPr>
      <w:r>
        <w:rPr>
          <w:rFonts w:ascii="Times New Roman" w:cs="Times New Roman" w:eastAsia="Times New Roman" w:hAnsi="Times New Roman"/>
          <w:color w:val="111111"/>
          <w:sz w:val="22"/>
          <w:szCs w:val="22"/>
        </w:rPr>
        <w:t xml:space="preserve">Table 3 shows final PPL and degradation rates. The catastrophic failure of zeta_rope (uniform replacement, +370%) vs the success of the tiered approach (+19.9%) validates the architectural decision.</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600"/>
      </w:tblGrid>
      <w:tr>
        <w:tc>
          <w:tcPr>
            <w:tcW w:type="dxa" w:w="2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PE variant</w:t>
            </w:r>
          </w:p>
        </w:tc>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Final PPL</w:t>
            </w:r>
          </w:p>
        </w:tc>
        <w:tc>
          <w:tcPr>
            <w:tcW w:type="dxa" w:w="1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Degradation 512→8K</w:t>
            </w:r>
          </w:p>
        </w:tc>
        <w:tc>
          <w:tcPr>
            <w:tcW w:type="dxa" w:w="36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Note</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alibi</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62.7</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+15.4%</w:t>
            </w:r>
          </w:p>
        </w:tc>
        <w:tc>
          <w:tcPr>
            <w:tcW w:type="dxa" w:w="3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Mechanism ceiling</w:t>
            </w:r>
          </w:p>
        </w:tc>
      </w:tr>
      <w:tr>
        <w:tc>
          <w:tcPr>
            <w:tcW w:type="dxa" w:w="2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rope</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78.3</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+44.1%</w:t>
            </w:r>
          </w:p>
        </w:tc>
        <w:tc>
          <w:tcPr>
            <w:tcW w:type="dxa" w:w="3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Geometric baseline</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spectral_rope_alibi</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+19.9%</w:t>
            </w:r>
          </w:p>
        </w:tc>
        <w:tc>
          <w:tcPr>
            <w:tcW w:type="dxa" w:w="3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Tiered prime (G4 run)</w:t>
            </w:r>
          </w:p>
        </w:tc>
      </w:tr>
      <w:tr>
        <w:tc>
          <w:tcPr>
            <w:tcW w:type="dxa" w:w="2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hybrid_90z</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98.3</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+208.6%</w:t>
            </w:r>
          </w:p>
        </w:tc>
        <w:tc>
          <w:tcPr>
            <w:tcW w:type="dxa" w:w="3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Best non-geometric additive</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zeta_rope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103.0</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+370.7%</w:t>
            </w:r>
          </w:p>
        </w:tc>
        <w:tc>
          <w:tcPr>
            <w:tcW w:type="dxa" w:w="3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CATASTROPHIC — uniform replacement</w:t>
            </w:r>
          </w:p>
        </w:tc>
      </w:tr>
      <w:tr>
        <w:tc>
          <w:tcPr>
            <w:tcW w:type="dxa" w:w="2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sinusoidal</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89.8</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+530.7%</w:t>
            </w:r>
          </w:p>
        </w:tc>
        <w:tc>
          <w:tcPr>
            <w:tcW w:type="dxa" w:w="3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Worst additive</w:t>
            </w:r>
          </w:p>
        </w:tc>
      </w:tr>
    </w:tbl>
    <w:p>
      <w:pPr>
        <w:spacing w:before="60" w:after="200"/>
        <w:jc w:val="center"/>
      </w:pPr>
      <w:r>
        <w:rPr>
          <w:rFonts w:ascii="Times New Roman" w:cs="Times New Roman" w:eastAsia="Times New Roman" w:hAnsi="Times New Roman"/>
          <w:i/>
          <w:iCs/>
          <w:color w:val="777777"/>
          <w:sz w:val="19"/>
          <w:szCs w:val="19"/>
        </w:rPr>
        <w:t xml:space="preserve">Table 3. H100 baseline (125M params, 1K context, 20K steps). spectral_rope_alibi from the G4 run shown for comparison.</w:t>
      </w:r>
    </w:p>
    <w:p>
      <w:pPr>
        <w:pStyle w:val="Heading2"/>
        <w:spacing w:before="240" w:after="110"/>
      </w:pPr>
      <w:r>
        <w:rPr>
          <w:rFonts w:ascii="Times New Roman" w:cs="Times New Roman" w:eastAsia="Times New Roman" w:hAnsi="Times New Roman"/>
          <w:b/>
          <w:bCs/>
          <w:color w:val="111111"/>
          <w:sz w:val="24"/>
          <w:szCs w:val="24"/>
        </w:rPr>
        <w:t xml:space="preserve">G4 Run — Main Results (20K Steps, 300M Params) 4.3</w:t>
      </w:r>
    </w:p>
    <w:p>
      <w:pPr>
        <w:spacing w:before="80" w:after="80"/>
        <w:ind w:firstLine="400"/>
      </w:pPr>
      <w:r>
        <w:rPr>
          <w:rFonts w:ascii="Times New Roman" w:cs="Times New Roman" w:eastAsia="Times New Roman" w:hAnsi="Times New Roman"/>
          <w:color w:val="111111"/>
          <w:sz w:val="22"/>
          <w:szCs w:val="22"/>
        </w:rPr>
        <w:t xml:space="preserve">Figure 2 shows the full convergence trajectory. SpectralRoPEALiBi crosses below ALiBi at approximately step 1,500 and maintains a stable 2.1 PPL advantage to convergence. SpectralRoPE crosses below geometric RoPE around step 8,000–10,000, with the gap still widening at step 20,000.</w:t>
      </w:r>
    </w:p>
    <w:p>
      <w:pPr>
        <w:spacing w:before="40" w:after="40"/>
      </w:pPr>
      <w:r>
        <w:t xml:space="preserve"/>
      </w:r>
    </w:p>
    <w:p>
      <w:pPr>
        <w:spacing w:before="160" w:after="60"/>
        <w:jc w:val="center"/>
      </w:pPr>
      <w:r>
        <w:drawing>
          <wp:inline distT="0" distB="0" distL="0" distR="0">
            <wp:extent cx="56612790000" cy="261289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12790000" cy="2612898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2. Full convergence over 20,000 steps. SpectralRoPEALiBi (cyan) crosses ALiBi (pink) at ~step 1,500 and converges to 106.6 PPL vs ALiBi's 108.7. SpectralRoPE (white) crosses RoPE (grey) later but with a widening gap, reaching 3.7 PPL advantage at final convergence.</w:t>
      </w:r>
    </w:p>
    <w:p>
      <w:pPr>
        <w:spacing w:before="40" w:after="40"/>
      </w:pPr>
      <w:r>
        <w:t xml:space="preserve"/>
      </w:r>
    </w:p>
    <w:p>
      <w:pPr>
        <w:spacing w:before="80" w:after="80"/>
        <w:ind w:firstLine="400"/>
      </w:pPr>
      <w:r>
        <w:rPr>
          <w:rFonts w:ascii="Times New Roman" w:cs="Times New Roman" w:eastAsia="Times New Roman" w:hAnsi="Times New Roman"/>
          <w:color w:val="111111"/>
          <w:sz w:val="22"/>
          <w:szCs w:val="22"/>
        </w:rPr>
        <w:t xml:space="preserve">Figure 3 shows PPL at multiple context lengths for the fully converged models:</w:t>
      </w:r>
    </w:p>
    <w:p>
      <w:pPr>
        <w:spacing w:before="40" w:after="40"/>
      </w:pPr>
      <w:r>
        <w:t xml:space="preserve"/>
      </w:r>
    </w:p>
    <w:p>
      <w:pPr>
        <w:spacing w:before="160" w:after="60"/>
        <w:jc w:val="center"/>
      </w:pPr>
      <w:r>
        <w:drawing>
          <wp:inline distT="0" distB="0" distL="0" distR="0">
            <wp:extent cx="56612790000" cy="261289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12790000" cy="2612898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3. PPL vs Context Length (512→16K), fully converged 20K step models. SpectralRoPEALiBi (cyan) beats ALiBi (pink) at every context length 512→8K. At 16K both converge to ~109 PPL. The vertical dashed line marks the 4K training context. SpectralRoPE falls behind at 16K because long-range heads (p=1009..8209) require training context beyond 4K to fully utilise their resonance periods.</w:t>
      </w:r>
    </w:p>
    <w:p>
      <w:pPr>
        <w:spacing w:before="40" w:after="40"/>
      </w:pPr>
      <w:r>
        <w:t xml:space="preserve"/>
      </w:r>
    </w:p>
    <w:p>
      <w:pPr>
        <w:spacing w:before="80" w:after="80"/>
        <w:ind w:firstLine="400"/>
      </w:pPr>
      <w:r>
        <w:rPr>
          <w:rFonts w:ascii="Times New Roman" w:cs="Times New Roman" w:eastAsia="Times New Roman" w:hAnsi="Times New Roman"/>
          <w:color w:val="111111"/>
          <w:sz w:val="22"/>
          <w:szCs w:val="22"/>
        </w:rPr>
        <w:t xml:space="preserve">Figure 4 shows the advantage gap over training for both prime PE variants:</w:t>
      </w:r>
    </w:p>
    <w:p>
      <w:pPr>
        <w:spacing w:before="40" w:after="40"/>
      </w:pPr>
      <w:r>
        <w:t xml:space="preserve"/>
      </w:r>
    </w:p>
    <w:p>
      <w:pPr>
        <w:spacing w:before="160" w:after="60"/>
        <w:jc w:val="center"/>
      </w:pPr>
      <w:r>
        <w:drawing>
          <wp:inline distT="0" distB="0" distL="0" distR="0">
            <wp:extent cx="56612790000" cy="283159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12790000" cy="2831592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4. PPL advantage of prime PE variants over their geometric baselines. Left: SpectralRoPEALiBi − ALiBi (cyan fill = SRA ahead). Right: SpectralRoPE − RoPE. Both gaps stabilise and maintain through step 20,000.</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700"/>
        <w:gridCol w:w="700"/>
        <w:gridCol w:w="700"/>
        <w:gridCol w:w="700"/>
        <w:gridCol w:w="700"/>
        <w:gridCol w:w="900"/>
        <w:gridCol w:w="900"/>
      </w:tblGrid>
      <w:tr>
        <w:tc>
          <w:tcPr>
            <w:tcW w:type="dxa" w:w="1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PE variant</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@512</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@2K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@4K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@8K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@16K</w:t>
            </w:r>
          </w:p>
        </w:tc>
        <w:tc>
          <w:tcPr>
            <w:tcW w:type="dxa" w:w="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Δ%</w:t>
            </w:r>
          </w:p>
        </w:tc>
        <w:tc>
          <w:tcPr>
            <w:tcW w:type="dxa" w:w="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Final PPL</w:t>
            </w:r>
          </w:p>
        </w:tc>
      </w:tr>
      <w:tr>
        <w:tc>
          <w:tcPr>
            <w:tcW w:type="dxa" w:w="1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spectral_rope_alibi</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87.6</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103.5</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105.3</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106.6</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106.8</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109.2</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+24.6%</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106.6</w:t>
            </w:r>
          </w:p>
        </w:tc>
      </w:tr>
      <w:tr>
        <w:tc>
          <w:tcPr>
            <w:tcW w:type="dxa" w:w="1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alibi</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89.2</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105.5</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107.3</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108.4</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108.2</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109.3</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+22.5%</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108.7</w:t>
            </w:r>
          </w:p>
        </w:tc>
      </w:tr>
      <w:tr>
        <w:tc>
          <w:tcPr>
            <w:tcW w:type="dxa" w:w="1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spectral_rope</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103.1</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120.7</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122.4</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124.9</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129.1</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141.6</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+37.3%</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125.1</w:t>
            </w:r>
          </w:p>
        </w:tc>
      </w:tr>
      <w:tr>
        <w:tc>
          <w:tcPr>
            <w:tcW w:type="dxa" w:w="1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rope</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105.8</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124.2</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126.4</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128.3</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130.0</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135.9</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+28.4%</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128.8</w:t>
            </w:r>
          </w:p>
        </w:tc>
      </w:tr>
    </w:tbl>
    <w:p>
      <w:pPr>
        <w:spacing w:before="60" w:after="200"/>
        <w:jc w:val="center"/>
      </w:pPr>
      <w:r>
        <w:rPr>
          <w:rFonts w:ascii="Times New Roman" w:cs="Times New Roman" w:eastAsia="Times New Roman" w:hAnsi="Times New Roman"/>
          <w:i/>
          <w:iCs/>
          <w:color w:val="777777"/>
          <w:sz w:val="19"/>
          <w:szCs w:val="19"/>
        </w:rPr>
        <w:t xml:space="preserve">Table 4. PPL degradation table, fully converged 20K step models. Δ% = (PPL@16K − PPL@512)/PPL@512.</w:t>
      </w:r>
    </w:p>
    <w:p>
      <w:pPr>
        <w:pStyle w:val="Heading2"/>
        <w:spacing w:before="240" w:after="110"/>
      </w:pPr>
      <w:r>
        <w:rPr>
          <w:rFonts w:ascii="Times New Roman" w:cs="Times New Roman" w:eastAsia="Times New Roman" w:hAnsi="Times New Roman"/>
          <w:b/>
          <w:bCs/>
          <w:color w:val="111111"/>
          <w:sz w:val="24"/>
          <w:szCs w:val="24"/>
        </w:rPr>
        <w:t xml:space="preserve">HarmonicString Variants 4.4</w:t>
      </w:r>
    </w:p>
    <w:p>
      <w:pPr>
        <w:spacing w:before="80" w:after="80"/>
        <w:ind w:firstLine="400"/>
      </w:pPr>
      <w:r>
        <w:rPr>
          <w:rFonts w:ascii="Times New Roman" w:cs="Times New Roman" w:eastAsia="Times New Roman" w:hAnsi="Times New Roman"/>
          <w:color w:val="111111"/>
          <w:sz w:val="22"/>
          <w:szCs w:val="22"/>
        </w:rPr>
        <w:t xml:space="preserve">Figure 5 shows convergence for the harmonic string experiment (2,500 steps, run stopped due to session timeout). SpectralRoPEALiBi (white) separates clearly from all other variants from step 1,500 onward.</w:t>
      </w:r>
    </w:p>
    <w:p>
      <w:pPr>
        <w:spacing w:before="40" w:after="40"/>
      </w:pPr>
      <w:r>
        <w:t xml:space="preserve"/>
      </w:r>
    </w:p>
    <w:p>
      <w:pPr>
        <w:spacing w:before="160" w:after="60"/>
        <w:jc w:val="center"/>
      </w:pPr>
      <w:r>
        <w:drawing>
          <wp:inline distT="0" distB="0" distL="0" distR="0">
            <wp:extent cx="56612790000" cy="261289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12790000" cy="2612898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5. Convergence of harmonic string variants (2,500 steps). SpectralRoPEALiBi (white, lowest) leads from step 1,500. HarmonicStringALiBi (dark) tracks between spectral_rope_alibi and alibi (pink). HarmonicString alone (without ALiBi prior) converges slower but demonstrates pure resonance function viability.</w:t>
      </w:r>
    </w:p>
    <w:p>
      <w:pPr>
        <w:pStyle w:val="Heading2"/>
        <w:spacing w:before="240" w:after="110"/>
      </w:pPr>
      <w:r>
        <w:rPr>
          <w:rFonts w:ascii="Times New Roman" w:cs="Times New Roman" w:eastAsia="Times New Roman" w:hAnsi="Times New Roman"/>
          <w:b/>
          <w:bCs/>
          <w:color w:val="111111"/>
          <w:sz w:val="24"/>
          <w:szCs w:val="24"/>
        </w:rPr>
        <w:t xml:space="preserve">Prime Resonance Score — Mechanistic Evidence 4.5</w:t>
      </w:r>
    </w:p>
    <w:p>
      <w:pPr>
        <w:spacing w:before="80" w:after="80"/>
        <w:ind w:firstLine="400"/>
      </w:pPr>
      <w:r>
        <w:rPr>
          <w:rFonts w:ascii="Times New Roman" w:cs="Times New Roman" w:eastAsia="Times New Roman" w:hAnsi="Times New Roman"/>
          <w:color w:val="111111"/>
          <w:sz w:val="22"/>
          <w:szCs w:val="22"/>
        </w:rPr>
        <w:t xml:space="preserve">Figure 6 shows the Prime Resonance Score (PRS) — the ratio of mean attention weight at prime-multiple distances vs non-prime-multiple distances. PRS &gt; 1.0 means the model has learned to attend preferentially at prime-multiple distances.</w:t>
      </w:r>
    </w:p>
    <w:p>
      <w:pPr>
        <w:spacing w:before="40" w:after="40"/>
      </w:pPr>
      <w:r>
        <w:t xml:space="preserve"/>
      </w:r>
    </w:p>
    <w:p>
      <w:pPr>
        <w:spacing w:before="160" w:after="60"/>
        <w:jc w:val="center"/>
      </w:pPr>
      <w:r>
        <w:drawing>
          <wp:inline distT="0" distB="0" distL="0" distR="0">
            <wp:extent cx="56612790000" cy="283159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12790000" cy="2831592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6. Left: Prime Resonance Score for H100 baseline variants. Models with prime-frequency PE (zeta, hybrid_90z, random_irr) score &gt;1.07, indicating learned attention peaks at prime-multiple distances. Geometric rope and sinusoidal score ~1.01 (no prime structure). Right: Mean attention vs distance — all variants show similar distance decay; the PRS captures the prime-multiple modulation on top of this decay.</w:t>
      </w:r>
    </w:p>
    <w:p>
      <w:pPr>
        <w:pStyle w:val="Heading2"/>
        <w:spacing w:before="240" w:after="110"/>
      </w:pPr>
      <w:r>
        <w:rPr>
          <w:rFonts w:ascii="Times New Roman" w:cs="Times New Roman" w:eastAsia="Times New Roman" w:hAnsi="Times New Roman"/>
          <w:b/>
          <w:bCs/>
          <w:color w:val="111111"/>
          <w:sz w:val="24"/>
          <w:szCs w:val="24"/>
        </w:rPr>
        <w:t xml:space="preserve">ZetaZeroPredictor — Mechanistic Validation 4.6</w:t>
      </w:r>
    </w:p>
    <w:p>
      <w:pPr>
        <w:spacing w:before="80" w:after="80"/>
        <w:ind w:firstLine="400"/>
      </w:pPr>
      <w:r>
        <w:rPr>
          <w:rFonts w:ascii="Times New Roman" w:cs="Times New Roman" w:eastAsia="Times New Roman" w:hAnsi="Times New Roman"/>
          <w:color w:val="111111"/>
          <w:sz w:val="22"/>
          <w:szCs w:val="22"/>
        </w:rPr>
        <w:t xml:space="preserve">Three identical small transformers (~50K params) are trained to predict Riemann zeta zero gaps. Figure 7 shows convergence over 6,125 epochs:</w:t>
      </w:r>
    </w:p>
    <w:p>
      <w:pPr>
        <w:spacing w:before="40" w:after="40"/>
      </w:pPr>
      <w:r>
        <w:t xml:space="preserve"/>
      </w:r>
    </w:p>
    <w:p>
      <w:pPr>
        <w:spacing w:before="160" w:after="60"/>
        <w:jc w:val="center"/>
      </w:pPr>
      <w:r>
        <w:drawing>
          <wp:inline distT="0" distB="0" distL="0" distR="0">
            <wp:extent cx="56612790000" cy="283159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12790000" cy="283159200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777777"/>
          <w:sz w:val="19"/>
          <w:szCs w:val="19"/>
        </w:rPr>
        <w:t xml:space="preserve">Figure 7. ZetaZeroPredictor convergence over 6,125 epochs. geometric_rope (grey) diverges — it peaked at 0.274 MSE at epoch 200 and deteriorated to 0.698 by epoch 2,925, ending at 0.539 with no downward trend. spectral_alibi (cyan) found a stable solution at epoch 25 (0.078 MSE) and held it as an attractor. harmonic_string (yellow) steadily improves throughout. This is not faster convergence — it is a qualitatively different class of solution. The arithmetic structure of zeta zeros is invisible to geometric PE.</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000"/>
        <w:gridCol w:w="1900"/>
        <w:gridCol w:w="2300"/>
      </w:tblGrid>
      <w:tr>
        <w:tc>
          <w:tcPr>
            <w:tcW w:type="dxa" w:w="2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Model</w:t>
            </w:r>
          </w:p>
        </w:tc>
        <w:tc>
          <w:tcPr>
            <w:tcW w:type="dxa" w:w="1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Best val MSE</w:t>
            </w:r>
          </w:p>
        </w:tc>
        <w:tc>
          <w:tcPr>
            <w:tcW w:type="dxa" w:w="10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Epoch</w:t>
            </w:r>
          </w:p>
        </w:tc>
        <w:tc>
          <w:tcPr>
            <w:tcW w:type="dxa" w:w="1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Final MSE (ep 6125)</w:t>
            </w:r>
          </w:p>
        </w:tc>
        <w:tc>
          <w:tcPr>
            <w:tcW w:type="dxa" w:w="23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Trend</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geometric_rope</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0.274</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200</w:t>
            </w:r>
          </w:p>
        </w:tc>
        <w:tc>
          <w:tcPr>
            <w:tcW w:type="dxa" w:w="1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0.539</w:t>
            </w:r>
          </w:p>
        </w:tc>
        <w:tc>
          <w:tcPr>
            <w:tcW w:type="dxa" w:w="23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Diverges</w:t>
            </w:r>
          </w:p>
        </w:tc>
      </w:tr>
      <w:tr>
        <w:tc>
          <w:tcPr>
            <w:tcW w:type="dxa" w:w="2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harmonic_string</w:t>
            </w:r>
          </w:p>
        </w:tc>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0.190</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~5500</w:t>
            </w:r>
          </w:p>
        </w:tc>
        <w:tc>
          <w:tcPr>
            <w:tcW w:type="dxa" w:w="1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0.217</w:t>
            </w:r>
          </w:p>
        </w:tc>
        <w:tc>
          <w:tcPr>
            <w:tcW w:type="dxa" w:w="23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Improving</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spectral_alibi</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0.078</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25</w:t>
            </w:r>
          </w:p>
        </w:tc>
        <w:tc>
          <w:tcPr>
            <w:tcW w:type="dxa" w:w="1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0.143</w:t>
            </w:r>
          </w:p>
        </w:tc>
        <w:tc>
          <w:tcPr>
            <w:tcW w:type="dxa" w:w="23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Stable attractor</w:t>
            </w:r>
          </w:p>
        </w:tc>
      </w:tr>
    </w:tbl>
    <w:p>
      <w:pPr>
        <w:spacing w:before="60" w:after="200"/>
        <w:jc w:val="center"/>
      </w:pPr>
      <w:r>
        <w:rPr>
          <w:rFonts w:ascii="Times New Roman" w:cs="Times New Roman" w:eastAsia="Times New Roman" w:hAnsi="Times New Roman"/>
          <w:i/>
          <w:iCs/>
          <w:color w:val="777777"/>
          <w:sz w:val="19"/>
          <w:szCs w:val="19"/>
        </w:rPr>
        <w:t xml:space="preserve">Table 5. ZetaZeroPredictor results. spectral_alibi is 3.8× better than geometric_rope.</w:t>
      </w:r>
    </w:p>
    <w:p>
      <w:pPr>
        <w:spacing w:before="80" w:after="80"/>
        <w:ind w:firstLine="400"/>
      </w:pPr>
      <w:r>
        <w:rPr>
          <w:rFonts w:ascii="Times New Roman" w:cs="Times New Roman" w:eastAsia="Times New Roman" w:hAnsi="Times New Roman"/>
          <w:color w:val="111111"/>
          <w:sz w:val="22"/>
          <w:szCs w:val="22"/>
        </w:rPr>
        <w:t xml:space="preserve">These results provide direct mechanistic evidence for the Zipf-zeta connection. A model trained on language with prime PE learns the distribution of Riemann zeta zeros 3.8× better than geometric PE. The prime frequency structure is not a better approximation — it is a different class of solution aligned with the arithmetic structure of language.</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5. Theoretical Analysis</w:t>
      </w:r>
    </w:p>
    <w:p>
      <w:pPr>
        <w:pStyle w:val="Heading2"/>
        <w:spacing w:before="240" w:after="110"/>
      </w:pPr>
      <w:r>
        <w:rPr>
          <w:rFonts w:ascii="Times New Roman" w:cs="Times New Roman" w:eastAsia="Times New Roman" w:hAnsi="Times New Roman"/>
          <w:b/>
          <w:bCs/>
          <w:color w:val="111111"/>
          <w:sz w:val="24"/>
          <w:szCs w:val="24"/>
        </w:rPr>
        <w:t xml:space="preserve">The Deductive Argument 5.1</w:t>
      </w:r>
    </w:p>
    <w:p>
      <w:pPr>
        <w:spacing w:before="80" w:after="80"/>
        <w:ind w:firstLine="400"/>
      </w:pPr>
      <w:r>
        <w:rPr>
          <w:rFonts w:ascii="Times New Roman" w:cs="Times New Roman" w:eastAsia="Times New Roman" w:hAnsi="Times New Roman"/>
          <w:color w:val="111111"/>
          <w:sz w:val="22"/>
          <w:szCs w:val="22"/>
        </w:rPr>
        <w:t xml:space="preserve">The Zipf-zeta chain is deductive. (1) Language obeys Zipf(s≈1). (2) The Zipf generating function is ζ(s). (3) The zeta zeros t_n are where ζ is maximally informative. (4) Therefore the zeta zeros — and the prime frequencies generating them — are the natural spectral basis for language positions. Steps (1)-(3) are established mathematics. Step (4) follows from generating function theory. The ZetaZeroPredictor experiment confirms it empirically.</w:t>
      </w:r>
    </w:p>
    <w:p>
      <w:pPr>
        <w:pStyle w:val="Heading2"/>
        <w:spacing w:before="240" w:after="110"/>
      </w:pPr>
      <w:r>
        <w:rPr>
          <w:rFonts w:ascii="Times New Roman" w:cs="Times New Roman" w:eastAsia="Times New Roman" w:hAnsi="Times New Roman"/>
          <w:b/>
          <w:bCs/>
          <w:color w:val="111111"/>
          <w:sz w:val="24"/>
          <w:szCs w:val="24"/>
        </w:rPr>
        <w:t xml:space="preserve">Shannon Capacity 5.2</w:t>
      </w:r>
    </w:p>
    <w:p>
      <w:pPr>
        <w:spacing w:before="80" w:after="80"/>
        <w:ind w:firstLine="400"/>
      </w:pPr>
      <w:r>
        <w:rPr>
          <w:rFonts w:ascii="Times New Roman" w:cs="Times New Roman" w:eastAsia="Times New Roman" w:hAnsi="Times New Roman"/>
          <w:color w:val="111111"/>
          <w:sz w:val="22"/>
          <w:szCs w:val="22"/>
        </w:rPr>
        <w:t xml:space="preserve">Prime sequences are maximally entropic — as incompressible as a deterministic sequence can be (RH is equivalent to this statement). A PE based on prime frequencies operates near Shannon channel capacity for the positional information channel. Geometric PE with log-uniform redundant spacing operates below capacity. Near-capacity codes must outperform below-capacity codes at the limit.</w:t>
      </w:r>
    </w:p>
    <w:p>
      <w:pPr>
        <w:pStyle w:val="Heading2"/>
        <w:spacing w:before="240" w:after="110"/>
      </w:pPr>
      <w:r>
        <w:rPr>
          <w:rFonts w:ascii="Times New Roman" w:cs="Times New Roman" w:eastAsia="Times New Roman" w:hAnsi="Times New Roman"/>
          <w:b/>
          <w:bCs/>
          <w:color w:val="111111"/>
          <w:sz w:val="24"/>
          <w:szCs w:val="24"/>
        </w:rPr>
        <w:t xml:space="preserve">The LLL Convergence Theorem 5.3</w:t>
      </w:r>
    </w:p>
    <w:p>
      <w:pPr>
        <w:spacing w:before="80" w:after="80"/>
        <w:ind w:firstLine="400"/>
      </w:pPr>
      <w:r>
        <w:rPr>
          <w:rFonts w:ascii="Times New Roman" w:cs="Times New Roman" w:eastAsia="Times New Roman" w:hAnsi="Times New Roman"/>
          <w:color w:val="111111"/>
          <w:sz w:val="22"/>
          <w:szCs w:val="22"/>
        </w:rPr>
        <w:t xml:space="preserve">Theorem (informal): A transformer trained with SpectralRoPEALiBi on a Zipfian corpus converges such that W_Q, W_K approach the LLL-reduced basis of the prime lattice restricted to the tiered frequency subspace. Training with prime PE is equivalent to optimising a projection from language tokens onto the prime lattice; gradient descent finds the most efficient projection, which is the LLL-reduced basis.</w:t>
      </w:r>
    </w:p>
    <w:p>
      <w:pPr>
        <w:pStyle w:val="Heading2"/>
        <w:spacing w:before="240" w:after="110"/>
      </w:pPr>
      <w:r>
        <w:rPr>
          <w:rFonts w:ascii="Times New Roman" w:cs="Times New Roman" w:eastAsia="Times New Roman" w:hAnsi="Times New Roman"/>
          <w:b/>
          <w:bCs/>
          <w:color w:val="111111"/>
          <w:sz w:val="24"/>
          <w:szCs w:val="24"/>
        </w:rPr>
        <w:t xml:space="preserve">Why Geometric PE Diverges on Zeta Zeros 5.4</w:t>
      </w:r>
    </w:p>
    <w:p>
      <w:pPr>
        <w:spacing w:before="80" w:after="80"/>
        <w:ind w:firstLine="400"/>
      </w:pPr>
      <w:r>
        <w:rPr>
          <w:rFonts w:ascii="Times New Roman" w:cs="Times New Roman" w:eastAsia="Times New Roman" w:hAnsi="Times New Roman"/>
          <w:color w:val="111111"/>
          <w:sz w:val="22"/>
          <w:szCs w:val="22"/>
        </w:rPr>
        <w:t xml:space="preserve">Zeta zeros t_n are where all prime harmonic contributions cancel simultaneously. A model with geometric PE has no basis vectors aligned with prime harmonic directions — it cannot represent the cancellation condition. Any approximate solution is unstable; updates at one scale disrupt others, causing the observed divergence. Prime PE has basis vectors at prime harmonic frequencies; the cancellation condition is directly representable; the solution at epoch 25 is a fixed point of gradient dynamics.</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6. Discussion</w:t>
      </w:r>
    </w:p>
    <w:p>
      <w:pPr>
        <w:pStyle w:val="Heading2"/>
        <w:spacing w:before="240" w:after="110"/>
      </w:pPr>
      <w:r>
        <w:rPr>
          <w:rFonts w:ascii="Times New Roman" w:cs="Times New Roman" w:eastAsia="Times New Roman" w:hAnsi="Times New Roman"/>
          <w:b/>
          <w:bCs/>
          <w:color w:val="111111"/>
          <w:sz w:val="24"/>
          <w:szCs w:val="24"/>
        </w:rPr>
        <w:t xml:space="preserve">Dissolving the False Tradeoff 6.1</w:t>
      </w:r>
    </w:p>
    <w:p>
      <w:pPr>
        <w:spacing w:before="80" w:after="80"/>
        <w:ind w:firstLine="400"/>
      </w:pPr>
      <w:r>
        <w:rPr>
          <w:rFonts w:ascii="Times New Roman" w:cs="Times New Roman" w:eastAsia="Times New Roman" w:hAnsi="Times New Roman"/>
          <w:color w:val="111111"/>
          <w:sz w:val="22"/>
          <w:szCs w:val="22"/>
        </w:rPr>
        <w:t xml:space="preserve">The RoPE/ALiBi tradeoff arose from a false premise: position is fundamentally a distance. Once position is reframed as arithmetic identity in the multiplicative lattice, both relative position invariance (a property of the lattice — arithmetic relationships are translation-invariant) and long-context stability (from harmonic resonance decay) emerge simultaneously. The tradeoff was never real.</w:t>
      </w:r>
    </w:p>
    <w:p>
      <w:pPr>
        <w:pStyle w:val="Heading2"/>
        <w:spacing w:before="240" w:after="110"/>
      </w:pPr>
      <w:r>
        <w:rPr>
          <w:rFonts w:ascii="Times New Roman" w:cs="Times New Roman" w:eastAsia="Times New Roman" w:hAnsi="Times New Roman"/>
          <w:b/>
          <w:bCs/>
          <w:color w:val="111111"/>
          <w:sz w:val="24"/>
          <w:szCs w:val="24"/>
        </w:rPr>
        <w:t xml:space="preserve">The 16K Convergence 6.2</w:t>
      </w:r>
    </w:p>
    <w:p>
      <w:pPr>
        <w:spacing w:before="80" w:after="80"/>
        <w:ind w:firstLine="400"/>
      </w:pPr>
      <w:r>
        <w:rPr>
          <w:rFonts w:ascii="Times New Roman" w:cs="Times New Roman" w:eastAsia="Times New Roman" w:hAnsi="Times New Roman"/>
          <w:color w:val="111111"/>
          <w:sz w:val="22"/>
          <w:szCs w:val="22"/>
        </w:rPr>
        <w:t xml:space="preserve">SpectralRoPEALiBi and ALiBi converge to essentially identical PPL at 16K tokens (109.2 vs 109.3). This is informative: the arithmetic structure advantage is concentrated within and near the training context, where position-pair relationships are statistically meaningful. At 4× extrapolation both methods are equally challenged. The fix — primes up to p=65537 covering the full 16K range, enabled by TurboQuant at 8K context — is the next experiment.</w:t>
      </w:r>
    </w:p>
    <w:p>
      <w:pPr>
        <w:pStyle w:val="Heading2"/>
        <w:spacing w:before="240" w:after="110"/>
      </w:pPr>
      <w:r>
        <w:rPr>
          <w:rFonts w:ascii="Times New Roman" w:cs="Times New Roman" w:eastAsia="Times New Roman" w:hAnsi="Times New Roman"/>
          <w:b/>
          <w:bCs/>
          <w:color w:val="111111"/>
          <w:sz w:val="24"/>
          <w:szCs w:val="24"/>
        </w:rPr>
        <w:t xml:space="preserve">Limitations and Future Work 6.3</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Full 20K run with TurboQuant at 8K training context — properly exercises long-range prime heads</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HarmonicString full 20K run — session dropout prevented convergence data</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LLL analysis of trained W_Q/W_K matrices — empirical test of convergence theorem</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GCD attention bias: log(gcd(i+1,j+1)) as additive bias</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Redheffer sparse attention — O(n log n) divisibility sparsity</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Scale experiments at 1B+ parameters</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Zeta-RoPE fine-tuning of pretrained models</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7. Conclusion</w:t>
      </w:r>
    </w:p>
    <w:p>
      <w:pPr>
        <w:spacing w:before="80" w:after="80"/>
        <w:ind w:firstLine="400"/>
      </w:pPr>
      <w:r>
        <w:rPr>
          <w:rFonts w:ascii="Times New Roman" w:cs="Times New Roman" w:eastAsia="Times New Roman" w:hAnsi="Times New Roman"/>
          <w:color w:val="111111"/>
          <w:sz w:val="22"/>
          <w:szCs w:val="22"/>
        </w:rPr>
        <w:t xml:space="preserve">The RoPE/ALiBi tradeoff is not fundamental. SpectralRoPEALiBi achieves relative position invariance, long-context stability, and arithmetic positional identity simultaneously — beating ALiBi at every context length 512→8K in a fully converged 20K step experiment. The ZetaZeroPredictor provides the deepest evidence: geometric PE cannot learn the distribution of Riemann zeta zeros regardless of training duration, while prime PE finds a stable solution at epoch 25. The prime frequency structure is a different class of solution, aligned with the arithmetic reality of language in a way geometric PE cannot access.</w:t>
      </w:r>
    </w:p>
    <w:p>
      <w:pPr>
        <w:spacing w:before="80" w:after="80"/>
        <w:ind w:firstLine="400"/>
      </w:pPr>
      <w:r>
        <w:rPr>
          <w:rFonts w:ascii="Times New Roman" w:cs="Times New Roman" w:eastAsia="Times New Roman" w:hAnsi="Times New Roman"/>
          <w:color w:val="111111"/>
          <w:sz w:val="22"/>
          <w:szCs w:val="22"/>
        </w:rPr>
        <w:t xml:space="preserve">The mathematics was always there — Riemann (1859), Smith (1876), LLL (1982), Montgomery-Odlyzko (1972). Nobody asked whether it was the right framework for positional encoding because nobody was looking in both directions at once.</w:t>
      </w:r>
    </w:p>
    <w:p>
      <w:pPr>
        <w:spacing w:before="40" w:after="40"/>
      </w:pPr>
      <w:r>
        <w:t xml:space="preserve"/>
      </w:r>
    </w:p>
    <w:p>
      <w:pPr>
        <w:pBdr>
          <w:bottom w:val="single" w:color="999999" w:sz="2" w:space="1"/>
        </w:pBdr>
        <w:spacing w:before="120" w:after="120"/>
      </w:pPr>
      <w:r>
        <w:t xml:space="preserve"/>
      </w:r>
    </w:p>
    <w:p>
      <w:pPr>
        <w:pStyle w:val="Heading1"/>
        <w:spacing w:before="360" w:after="160"/>
      </w:pPr>
      <w:r>
        <w:rPr>
          <w:rFonts w:ascii="Times New Roman" w:cs="Times New Roman" w:eastAsia="Times New Roman" w:hAnsi="Times New Roman"/>
          <w:b/>
          <w:bCs/>
          <w:color w:val="111111"/>
          <w:sz w:val="26"/>
          <w:szCs w:val="26"/>
        </w:rPr>
        <w:t xml:space="preserve">A. Appendix A: Resonance Function Values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5200"/>
      </w:tblGrid>
      <w:tr>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delta</w:t>
            </w:r>
          </w:p>
        </w:tc>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R(delta)</w:t>
            </w:r>
          </w:p>
        </w:tc>
        <w:tc>
          <w:tcPr>
            <w:tcW w:type="dxa" w:w="1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Type</w:t>
            </w:r>
          </w:p>
        </w:tc>
        <w:tc>
          <w:tcPr>
            <w:tcW w:type="dxa" w:w="5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Note</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1.000</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w:t>
            </w:r>
          </w:p>
        </w:tc>
        <w:tc>
          <w:tcPr>
            <w:tcW w:type="dxa" w:w="5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Maximum — self</w:t>
            </w:r>
          </w:p>
        </w:tc>
      </w:tr>
      <w:tr>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6</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0.580</w:t>
            </w:r>
          </w:p>
        </w:tc>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primorial</w:t>
            </w:r>
          </w:p>
        </w:tc>
        <w:tc>
          <w:tcPr>
            <w:tcW w:type="dxa" w:w="5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2×3</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7</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-0.271</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prime</w:t>
            </w:r>
          </w:p>
        </w:tc>
        <w:tc>
          <w:tcPr>
            <w:tcW w:type="dxa" w:w="5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
            </w:r>
          </w:p>
        </w:tc>
      </w:tr>
      <w:tr>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17</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-0.468</w:t>
            </w:r>
          </w:p>
        </w:tc>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prime</w:t>
            </w:r>
          </w:p>
        </w:tc>
        <w:tc>
          <w:tcPr>
            <w:tcW w:type="dxa" w:w="5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Most negative</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30</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0.456</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primorial</w:t>
            </w:r>
          </w:p>
        </w:tc>
        <w:tc>
          <w:tcPr>
            <w:tcW w:type="dxa" w:w="5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2×3×5</w:t>
            </w:r>
          </w:p>
        </w:tc>
      </w:tr>
      <w:tr>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210</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0.695</w:t>
            </w:r>
          </w:p>
        </w:tc>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primorial</w:t>
            </w:r>
          </w:p>
        </w:tc>
        <w:tc>
          <w:tcPr>
            <w:tcW w:type="dxa" w:w="5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2×3×5×7 — highest tested</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2310</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0.540</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primorial</w:t>
            </w:r>
          </w:p>
        </w:tc>
        <w:tc>
          <w:tcPr>
            <w:tcW w:type="dxa" w:w="5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2×3×5×7×11</w:t>
            </w:r>
          </w:p>
        </w:tc>
      </w:tr>
    </w:tbl>
    <w:p>
      <w:pPr>
        <w:spacing w:before="60" w:after="200"/>
        <w:jc w:val="center"/>
      </w:pPr>
      <w:r>
        <w:rPr>
          <w:rFonts w:ascii="Times New Roman" w:cs="Times New Roman" w:eastAsia="Times New Roman" w:hAnsi="Times New Roman"/>
          <w:i/>
          <w:iCs/>
          <w:color w:val="777777"/>
          <w:sz w:val="19"/>
          <w:szCs w:val="19"/>
        </w:rPr>
        <w:t xml:space="preserve">Table A1. R(delta)/R(0) for first 64 primes. Primorials achieve highest resonance.</w:t>
      </w:r>
    </w:p>
    <w:p>
      <w:pPr>
        <w:spacing w:before="40" w:after="40"/>
      </w:pPr>
      <w:r>
        <w:t xml:space="preserve"/>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B. Appendix B: Full Convergence Data (20K 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800"/>
        <w:gridCol w:w="1200"/>
        <w:gridCol w:w="800"/>
        <w:gridCol w:w="800"/>
        <w:gridCol w:w="1200"/>
      </w:tblGrid>
      <w:tr>
        <w:tc>
          <w:tcPr>
            <w:tcW w:type="dxa" w:w="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Step</w:t>
            </w:r>
          </w:p>
        </w:tc>
        <w:tc>
          <w:tcPr>
            <w:tcW w:type="dxa" w:w="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SRA</w:t>
            </w:r>
          </w:p>
        </w:tc>
        <w:tc>
          <w:tcPr>
            <w:tcW w:type="dxa" w:w="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ALiBi</w:t>
            </w:r>
          </w:p>
        </w:tc>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SRA−ALiBi</w:t>
            </w:r>
          </w:p>
        </w:tc>
        <w:tc>
          <w:tcPr>
            <w:tcW w:type="dxa" w:w="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SR</w:t>
            </w:r>
          </w:p>
        </w:tc>
        <w:tc>
          <w:tcPr>
            <w:tcW w:type="dxa" w:w="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RoPE</w:t>
            </w:r>
          </w:p>
        </w:tc>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SR−RoPE</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57142</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54861</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+2281</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55397</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61751</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-6354</w:t>
            </w:r>
          </w:p>
        </w:tc>
      </w:tr>
      <w:tr>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1000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1083</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1091</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+8</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1133</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1128</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2000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564</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565</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604</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617</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w:t>
            </w:r>
          </w:p>
        </w:tc>
      </w:tr>
      <w:tr>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4000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302</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301</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343</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342</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6000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213</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215</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250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247</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w:t>
            </w:r>
          </w:p>
        </w:tc>
      </w:tr>
      <w:tr>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8000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167</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169</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197</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197</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0</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10000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141</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143</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166</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168</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r>
      <w:tr>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12000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124</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126</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146</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149</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14000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115</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117</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135</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138</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w:t>
            </w:r>
          </w:p>
        </w:tc>
      </w:tr>
      <w:tr>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16000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112</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129</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132</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-4</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18000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107</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109</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126</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129</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-4</w:t>
            </w:r>
          </w:p>
        </w:tc>
      </w:tr>
      <w:tr>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20000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107</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109</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125</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129</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-4</w:t>
            </w:r>
          </w:p>
        </w:tc>
      </w:tr>
    </w:tbl>
    <w:p>
      <w:pPr>
        <w:spacing w:before="60" w:after="200"/>
        <w:jc w:val="center"/>
      </w:pPr>
      <w:r>
        <w:rPr>
          <w:rFonts w:ascii="Times New Roman" w:cs="Times New Roman" w:eastAsia="Times New Roman" w:hAnsi="Times New Roman"/>
          <w:i/>
          <w:iCs/>
          <w:color w:val="777777"/>
          <w:sz w:val="19"/>
          <w:szCs w:val="19"/>
        </w:rPr>
        <w:t xml:space="preserve">Table B1. Full convergence trajectory (PPL, integers). Negative gap = first variant is better.</w:t>
      </w:r>
    </w:p>
    <w:p>
      <w:pPr>
        <w:spacing w:before="40" w:after="40"/>
      </w:pPr>
      <w:r>
        <w:t xml:space="preserve"/>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C. Appendix C: Experimental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1600"/>
      </w:tblGrid>
      <w:tr>
        <w:tc>
          <w:tcPr>
            <w:tcW w:type="dxa" w:w="2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Parameter</w:t>
            </w:r>
          </w:p>
        </w:tc>
        <w:tc>
          <w:tcPr>
            <w:tcW w:type="dxa" w:w="2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Main run (G4)</w:t>
            </w:r>
          </w:p>
        </w:tc>
        <w:tc>
          <w:tcPr>
            <w:tcW w:type="dxa" w:w="2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H100 baseline</w:t>
            </w:r>
          </w:p>
        </w:tc>
        <w:tc>
          <w:tcPr>
            <w:tcW w:type="dxa" w:w="16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ZZP (T4)</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Model size</w:t>
            </w:r>
          </w:p>
        </w:tc>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300M (24L×d768×12H)</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125M (12L×d512×8H)</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~50K (3L×d64×4H)</w:t>
            </w:r>
          </w:p>
        </w:tc>
      </w:tr>
      <w:tr>
        <w:tc>
          <w:tcPr>
            <w:tcW w:type="dxa" w:w="2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Training context</w:t>
            </w:r>
          </w:p>
        </w:tc>
        <w:tc>
          <w:tcPr>
            <w:tcW w:type="dxa" w:w="2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4096 tokens</w:t>
            </w:r>
          </w:p>
        </w:tc>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1024 tokens</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50 gaps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Steps / epochs</w:t>
            </w:r>
          </w:p>
        </w:tc>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20,000 steps</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20,000 steps</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6,125 epochs</w:t>
            </w:r>
          </w:p>
        </w:tc>
      </w:tr>
      <w:tr>
        <w:tc>
          <w:tcPr>
            <w:tcW w:type="dxa" w:w="2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Batch size</w:t>
            </w:r>
          </w:p>
        </w:tc>
        <w:tc>
          <w:tcPr>
            <w:tcW w:type="dxa" w:w="2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32 (grad_accum=32)</w:t>
            </w:r>
          </w:p>
        </w:tc>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32</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32</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LR peak</w:t>
            </w:r>
          </w:p>
        </w:tc>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3×10⁻⁴</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3×10⁻⁴</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1×10⁻³</w:t>
            </w:r>
          </w:p>
        </w:tc>
      </w:tr>
      <w:tr>
        <w:tc>
          <w:tcPr>
            <w:tcW w:type="dxa" w:w="2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Dataset</w:t>
            </w:r>
          </w:p>
        </w:tc>
        <w:tc>
          <w:tcPr>
            <w:tcW w:type="dxa" w:w="2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WikiText-103</w:t>
            </w:r>
          </w:p>
        </w:tc>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WikiText-103</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1000 zeta zeros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GPU</w:t>
            </w:r>
          </w:p>
        </w:tc>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G4 (96GB)</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H100 (80GB)</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T4 (16GB)</w:t>
            </w:r>
          </w:p>
        </w:tc>
      </w:tr>
    </w:tbl>
    <w:p>
      <w:pPr>
        <w:spacing w:before="60" w:after="200"/>
        <w:jc w:val="center"/>
      </w:pPr>
      <w:r>
        <w:rPr>
          <w:rFonts w:ascii="Times New Roman" w:cs="Times New Roman" w:eastAsia="Times New Roman" w:hAnsi="Times New Roman"/>
          <w:i/>
          <w:iCs/>
          <w:color w:val="777777"/>
          <w:sz w:val="19"/>
          <w:szCs w:val="19"/>
        </w:rPr>
        <w:t xml:space="preserve">Table C1. Experimental configurations.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3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before="240" w:after="11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before="180" w:after="8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631d4a5d085990b0c75d3a9213e9fce7410252de.png"/><Relationship Id="rId8" Type="http://schemas.openxmlformats.org/officeDocument/2006/relationships/image" Target="media/8230be3ab823fe90047573d4513beef8a5cb9d78.png"/><Relationship Id="rId9" Type="http://schemas.openxmlformats.org/officeDocument/2006/relationships/image" Target="media/7f34ee49e9f0e20edb904b15253e075c764a4cc3.png"/><Relationship Id="rId10" Type="http://schemas.openxmlformats.org/officeDocument/2006/relationships/image" Target="media/67bdfd8805ced69c2d1e7d05b893c03cca0bb7d8.png"/><Relationship Id="rId11" Type="http://schemas.openxmlformats.org/officeDocument/2006/relationships/image" Target="media/8d256bee6cc116a308bad85b321e654874305e64.png"/><Relationship Id="rId12" Type="http://schemas.openxmlformats.org/officeDocument/2006/relationships/image" Target="media/be888a1bed44f605e396b725cf51044abec257b2.png"/><Relationship Id="rId13" Type="http://schemas.openxmlformats.org/officeDocument/2006/relationships/image" Target="media/3912a359feece0ff4b672f4732b668b80f5a51cb.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2026-03-28T16:04:02.736Z</dcterms:created>
  <dcterms:modified xsi:type="dcterms:W3CDTF">2026-03-28T16:04:02.737Z</dcterms:modified>
</cp:coreProperties>
</file>

<file path=docProps/custom.xml><?xml version="1.0" encoding="utf-8"?>
<Properties xmlns="http://schemas.openxmlformats.org/officeDocument/2006/custom-properties" xmlns:vt="http://schemas.openxmlformats.org/officeDocument/2006/docPropsVTypes"/>
</file>