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图 2-2 基于选择性 CKKS 同态加密的 LoRA 联邦微调架构示意图</w:t>
      </w:r>
    </w:p>
    <w:p>
      <w:pPr>
        <w:pStyle w:val="BodyText"/>
      </w:pPr>
      <w:r>
        <w:rPr>
          <w:bCs/>
          <w:b/>
        </w:rPr>
        <w:t xml:space="preserve">【图文释义与数学推导】</w:t>
      </w:r>
    </w:p>
    <w:p>
      <w:pPr>
        <w:pStyle w:val="BodyText"/>
      </w:pPr>
      <w:r>
        <w:t xml:space="preserve">如图 2-2 所示，本系统在架构设计上制造了强烈的非对称性，以实现在大语言模型（LLM）上应用全同态加密（FHE）时的“防内存溢出（OOM）”目标。其核心理论与数据流向解析如下：</w:t>
      </w:r>
    </w:p>
    <w:p>
      <w:pPr>
        <w:pStyle w:val="BodyText"/>
      </w:pPr>
      <w:r>
        <w:rPr>
          <w:bCs/>
          <w:b/>
        </w:rPr>
        <w:t xml:space="preserve">（1）左侧主干：明文冻结区（Plaintext Zone）</w:t>
      </w:r>
      <w:r>
        <w:t xml:space="preserve"> </w:t>
      </w:r>
      <w:r>
        <w:t xml:space="preserve">图左侧较大的浅灰色区域代表预训练大模型的原始参数矩阵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k</m:t>
            </m:r>
          </m:sup>
        </m:sSup>
      </m:oMath>
      <w:r>
        <w:t xml:space="preserve">。在整个联邦微调的生命周期中，该部分参数被严格设置为不可求导（</w:t>
      </w:r>
      <w:r>
        <w:rPr>
          <w:rStyle w:val="VerbatimChar"/>
        </w:rPr>
        <w:t xml:space="preserve">requires_grad=False</w:t>
      </w:r>
      <w:r>
        <w:t xml:space="preserve">）。由于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本身是全网公开的开源基座权重，且在本地训练阶段处于冻结状态，</w:t>
      </w:r>
      <w:r>
        <w:rPr>
          <w:bCs/>
          <w:b/>
        </w:rPr>
        <w:t xml:space="preserve">它绝对不会吸收任何本地医疗系统的私有患者数据</w:t>
      </w:r>
      <w:r>
        <w:t xml:space="preserve">。因此，系统直接以明文（Plaintext）形态将其驻留在显存中，避免了极其昂贵且不必要的同态加密算力浪费。</w:t>
      </w:r>
    </w:p>
    <w:p>
      <w:pPr>
        <w:pStyle w:val="BodyText"/>
      </w:pPr>
      <w:r>
        <w:rPr>
          <w:bCs/>
          <w:b/>
        </w:rPr>
        <w:t xml:space="preserve">（2）右侧旁路：选择性密态微调区（Selective FHE Zone）</w:t>
      </w:r>
      <w:r>
        <w:t xml:space="preserve"> </w:t>
      </w:r>
      <w:r>
        <w:t xml:space="preserve">图右侧受绿色虚线框保护的区域为 LoRA 的核心低秩自适应矩阵，包含负责降维压缩的矩阵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k</m:t>
            </m:r>
          </m:sup>
        </m:sSup>
      </m:oMath>
      <w:r>
        <w:t xml:space="preserve"> </w:t>
      </w:r>
      <w:r>
        <w:t xml:space="preserve">与负责升维映射的矩阵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t xml:space="preserve">（其中秩</w:t>
      </w:r>
      <w:r>
        <w:t xml:space="preserve"> </w:t>
      </w:r>
      <m:oMath>
        <m:r>
          <m:t>r</m:t>
        </m:r>
        <m:r>
          <m:rPr>
            <m:sty m:val="p"/>
          </m:rPr>
          <m:t>≪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）。在客户端本地反向传播时，所有的“患者病历知识增量”均且仅流向了这两个极小的矩阵。基于此物理隔离特性，本系统将其划定为“选择性同态加密区（Selective FHE Zone）”，仅对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和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的参数调用 TenSEAL 库执行基于 CKKS 的 SIMD 密态打包加密。这种“选择性（Selective）”设计，成功将单客户端本应高达数百 GB 的密文传输量强行压缩至百兆级别（MB）。</w:t>
      </w:r>
    </w:p>
    <w:p>
      <w:pPr>
        <w:pStyle w:val="BodyText"/>
      </w:pPr>
      <w:r>
        <w:rPr>
          <w:bCs/>
          <w:b/>
        </w:rPr>
        <w:t xml:space="preserve">（3）前向数据流与数学等价性</w:t>
      </w:r>
      <w:r>
        <w:t xml:space="preserve"> </w:t>
      </w:r>
      <w:r>
        <w:t xml:space="preserve">在模型推理与前向传播阶段，底部的输入向量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同时流入明文主干与密态旁路。明文路径输出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x</m:t>
        </m:r>
      </m:oMath>
      <w:r>
        <w:t xml:space="preserve">，密态路径输出</w:t>
      </w:r>
      <w:r>
        <w:t xml:space="preserve"> </w:t>
      </w:r>
      <m:oMath>
        <m:r>
          <m:t>B</m:t>
        </m:r>
        <m:r>
          <m:t>A</m:t>
        </m:r>
        <m:r>
          <m:t>x</m:t>
        </m:r>
      </m:oMath>
      <w:r>
        <w:t xml:space="preserve">。两者在顶部的聚合节点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处完成相加操作，最终输出如下：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A</m:t>
          </m:r>
          <m:r>
            <m:t>x</m:t>
          </m:r>
        </m:oMath>
      </m:oMathPara>
    </w:p>
    <w:p>
      <w:pPr>
        <w:pStyle w:val="FirstParagraph"/>
      </w:pPr>
      <w:r>
        <w:t xml:space="preserve">该等式证明了：本架构在不触碰原始基座权重的前提下，完美地将带有极致隐私保护的医疗增量知识“叠加（Add）”到了模型的输出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上。在确保模型微调精确等价性的同时，极大地削减了 FHE 带来的多项式规模膨胀开销。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2026-03-10T12:56:26Z</dcterms:created>
  <dcterms:modified xsi:type="dcterms:W3CDTF">2026-03-10T12:56:26Z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