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2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Gerentes da empresa responsáveis pelo planejamento e controle. Representantes e clientes cadastrados no sistema.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solicitações de serviço do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modifica status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seus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 prestados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 prestados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 com serviço por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Cliente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seus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