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Montar template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serviço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 o cliente para visualizar serviços prestados para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