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044A" w14:textId="162D75E7" w:rsidR="00EF520B" w:rsidRPr="00B35F79" w:rsidRDefault="00EF520B" w:rsidP="00EF520B">
      <w:pPr>
        <w:jc w:val="center"/>
        <w:rPr>
          <w:rFonts w:ascii="Verdana" w:hAnsi="Verdana"/>
          <w:b/>
          <w:bCs/>
          <w:sz w:val="22"/>
          <w:szCs w:val="22"/>
        </w:rPr>
      </w:pPr>
      <w:r w:rsidRPr="00B35F79">
        <w:rPr>
          <w:rFonts w:ascii="Verdana" w:hAnsi="Verdana"/>
          <w:b/>
          <w:bCs/>
          <w:sz w:val="22"/>
          <w:szCs w:val="22"/>
        </w:rPr>
        <w:t>QCM : Gestion des Coûts et du Budget (Niveau 2)</w:t>
      </w:r>
    </w:p>
    <w:p w14:paraId="434F3EA1" w14:textId="77777777" w:rsidR="00EF520B" w:rsidRPr="00B35F79" w:rsidRDefault="00EF520B" w:rsidP="00EF520B">
      <w:pPr>
        <w:jc w:val="left"/>
        <w:rPr>
          <w:rFonts w:ascii="Verdana" w:hAnsi="Verdana"/>
          <w:b/>
          <w:bCs/>
          <w:sz w:val="22"/>
          <w:szCs w:val="22"/>
        </w:rPr>
      </w:pPr>
    </w:p>
    <w:p w14:paraId="352B6B04" w14:textId="18BFCB2C" w:rsidR="00EF520B" w:rsidRPr="00B35F79" w:rsidRDefault="00B35F79" w:rsidP="00EF520B">
      <w:pPr>
        <w:jc w:val="left"/>
        <w:rPr>
          <w:rFonts w:ascii="Verdana" w:hAnsi="Verdana"/>
          <w:sz w:val="22"/>
          <w:szCs w:val="22"/>
        </w:rPr>
      </w:pPr>
      <w:r>
        <w:rPr>
          <w:rFonts w:ascii="Verdana" w:hAnsi="Verdana"/>
          <w:b/>
          <w:bCs/>
          <w:sz w:val="22"/>
          <w:szCs w:val="22"/>
        </w:rPr>
        <w:t>Prénom / NOM :</w:t>
      </w:r>
    </w:p>
    <w:p w14:paraId="621AD121" w14:textId="77777777" w:rsidR="00EF520B" w:rsidRPr="00B35F79" w:rsidRDefault="00EF520B" w:rsidP="00EF520B">
      <w:pPr>
        <w:jc w:val="left"/>
        <w:rPr>
          <w:rFonts w:ascii="Verdana" w:hAnsi="Verdana"/>
          <w:b/>
          <w:bCs/>
          <w:sz w:val="22"/>
          <w:szCs w:val="22"/>
        </w:rPr>
      </w:pPr>
    </w:p>
    <w:p w14:paraId="5DB55404" w14:textId="6D048979" w:rsidR="00EF520B" w:rsidRPr="00B35F79" w:rsidRDefault="00EF520B" w:rsidP="00EF520B">
      <w:pPr>
        <w:jc w:val="left"/>
        <w:rPr>
          <w:rFonts w:ascii="Verdana" w:hAnsi="Verdana"/>
          <w:b/>
          <w:bCs/>
          <w:sz w:val="22"/>
          <w:szCs w:val="22"/>
        </w:rPr>
      </w:pPr>
      <w:r w:rsidRPr="00B35F79">
        <w:rPr>
          <w:rFonts w:ascii="Verdana" w:hAnsi="Verdana"/>
          <w:b/>
          <w:bCs/>
          <w:sz w:val="22"/>
          <w:szCs w:val="22"/>
        </w:rPr>
        <w:t>Partie 1 : Les concepts fondamentaux et les coûts complets</w:t>
      </w:r>
    </w:p>
    <w:p w14:paraId="31185266" w14:textId="77777777" w:rsidR="00EF520B" w:rsidRPr="00B35F79" w:rsidRDefault="00EF520B" w:rsidP="00B35F79">
      <w:pPr>
        <w:ind w:left="142"/>
        <w:jc w:val="left"/>
        <w:rPr>
          <w:rFonts w:ascii="Verdana" w:hAnsi="Verdana"/>
          <w:sz w:val="22"/>
          <w:szCs w:val="22"/>
        </w:rPr>
      </w:pPr>
      <w:r w:rsidRPr="00B35F79">
        <w:rPr>
          <w:rFonts w:ascii="Verdana" w:hAnsi="Verdana"/>
          <w:b/>
          <w:bCs/>
          <w:sz w:val="22"/>
          <w:szCs w:val="22"/>
        </w:rPr>
        <w:t>1. Quelle est la définition exacte d'une charge directe ?</w:t>
      </w:r>
    </w:p>
    <w:p w14:paraId="7E37A4B2" w14:textId="77777777" w:rsidR="00EF520B" w:rsidRPr="00B35F79" w:rsidRDefault="00EF520B" w:rsidP="00B35F79">
      <w:pPr>
        <w:ind w:left="142"/>
        <w:jc w:val="left"/>
        <w:rPr>
          <w:rFonts w:ascii="Verdana" w:hAnsi="Verdana"/>
          <w:sz w:val="22"/>
          <w:szCs w:val="22"/>
        </w:rPr>
      </w:pPr>
      <w:r w:rsidRPr="00B35F79">
        <w:rPr>
          <w:rFonts w:ascii="Verdana" w:hAnsi="Verdana"/>
          <w:sz w:val="22"/>
          <w:szCs w:val="22"/>
        </w:rPr>
        <w:t>A. C'est une charge qui varie proportionnellement au volume de production.</w:t>
      </w:r>
      <w:r w:rsidRPr="00B35F79">
        <w:rPr>
          <w:rFonts w:ascii="Verdana" w:hAnsi="Verdana"/>
          <w:sz w:val="22"/>
          <w:szCs w:val="22"/>
        </w:rPr>
        <w:br/>
        <w:t>B. C'est une charge qu'on peut affecter immédiatement et sans ambiguïté au coût d'un produit ou d'un service.</w:t>
      </w:r>
      <w:r w:rsidRPr="00B35F79">
        <w:rPr>
          <w:rFonts w:ascii="Verdana" w:hAnsi="Verdana"/>
          <w:sz w:val="22"/>
          <w:szCs w:val="22"/>
        </w:rPr>
        <w:br/>
        <w:t>C. C'est une charge qui nécessite un calcul intermédiaire de répartition avant d'être imputée.</w:t>
      </w:r>
      <w:r w:rsidRPr="00B35F79">
        <w:rPr>
          <w:rFonts w:ascii="Verdana" w:hAnsi="Verdana"/>
          <w:sz w:val="22"/>
          <w:szCs w:val="22"/>
        </w:rPr>
        <w:br/>
        <w:t>D. C'est une charge liée uniquement à l'achat de matières premières.</w:t>
      </w:r>
    </w:p>
    <w:p w14:paraId="65E07699" w14:textId="77777777" w:rsidR="00EF520B" w:rsidRPr="00B35F79" w:rsidRDefault="00EF520B" w:rsidP="00B35F79">
      <w:pPr>
        <w:ind w:left="142"/>
        <w:jc w:val="left"/>
        <w:rPr>
          <w:rFonts w:ascii="Verdana" w:hAnsi="Verdana"/>
          <w:sz w:val="22"/>
          <w:szCs w:val="22"/>
        </w:rPr>
      </w:pPr>
    </w:p>
    <w:p w14:paraId="48873DBD" w14:textId="37B640CB" w:rsidR="00EF520B" w:rsidRPr="00B35F79" w:rsidRDefault="00EF520B" w:rsidP="00B35F79">
      <w:pPr>
        <w:ind w:left="142"/>
        <w:jc w:val="left"/>
        <w:rPr>
          <w:rFonts w:ascii="Verdana" w:hAnsi="Verdana"/>
          <w:sz w:val="22"/>
          <w:szCs w:val="22"/>
        </w:rPr>
      </w:pPr>
      <w:r w:rsidRPr="00B35F79">
        <w:rPr>
          <w:rFonts w:ascii="Verdana" w:hAnsi="Verdana"/>
          <w:b/>
          <w:bCs/>
          <w:sz w:val="22"/>
          <w:szCs w:val="22"/>
        </w:rPr>
        <w:t>2. Dans la méthode des centres d'analyse, qu'appelle-t-on une "Unité d'Œuvre" (UO) ?</w:t>
      </w:r>
    </w:p>
    <w:p w14:paraId="0C3C0C40" w14:textId="224EEA82" w:rsidR="00EF520B" w:rsidRPr="00B35F79" w:rsidRDefault="00EF520B" w:rsidP="00B35F79">
      <w:pPr>
        <w:ind w:left="142"/>
        <w:jc w:val="left"/>
        <w:rPr>
          <w:rFonts w:ascii="Verdana" w:hAnsi="Verdana"/>
          <w:sz w:val="22"/>
          <w:szCs w:val="22"/>
        </w:rPr>
      </w:pPr>
      <w:r w:rsidRPr="00B35F79">
        <w:rPr>
          <w:rFonts w:ascii="Verdana" w:hAnsi="Verdana"/>
          <w:sz w:val="22"/>
          <w:szCs w:val="22"/>
        </w:rPr>
        <w:t>A. L'unité physique permettant de mesurer l'activité d'un centre principal et d'imputer ses coûts aux produits.</w:t>
      </w:r>
      <w:r w:rsidRPr="00B35F79">
        <w:rPr>
          <w:rFonts w:ascii="Verdana" w:hAnsi="Verdana"/>
          <w:sz w:val="22"/>
          <w:szCs w:val="22"/>
        </w:rPr>
        <w:br/>
        <w:t>B. Le coût total de la production divisé par le nombre de produits.</w:t>
      </w:r>
      <w:r w:rsidRPr="00B35F79">
        <w:rPr>
          <w:rFonts w:ascii="Verdana" w:hAnsi="Verdana"/>
          <w:sz w:val="22"/>
          <w:szCs w:val="22"/>
        </w:rPr>
        <w:br/>
        <w:t>C. Une unité monétaire utilisée pour répartir les charges des centres auxiliaires.</w:t>
      </w:r>
      <w:r w:rsidRPr="00B35F79">
        <w:rPr>
          <w:rFonts w:ascii="Verdana" w:hAnsi="Verdana"/>
          <w:sz w:val="22"/>
          <w:szCs w:val="22"/>
        </w:rPr>
        <w:br/>
        <w:t>D. La quantité de produits finis vendus sur une période.</w:t>
      </w:r>
    </w:p>
    <w:p w14:paraId="07A47385" w14:textId="77777777" w:rsidR="00EF520B" w:rsidRPr="00B35F79" w:rsidRDefault="00EF520B" w:rsidP="00B35F79">
      <w:pPr>
        <w:ind w:left="142"/>
        <w:jc w:val="left"/>
        <w:rPr>
          <w:rFonts w:ascii="Verdana" w:hAnsi="Verdana"/>
          <w:sz w:val="22"/>
          <w:szCs w:val="22"/>
        </w:rPr>
      </w:pPr>
    </w:p>
    <w:p w14:paraId="31C1FE00" w14:textId="77777777" w:rsidR="00EF520B" w:rsidRPr="00B35F79" w:rsidRDefault="00EF520B" w:rsidP="00B35F79">
      <w:pPr>
        <w:ind w:left="142"/>
        <w:jc w:val="left"/>
        <w:rPr>
          <w:rFonts w:ascii="Verdana" w:hAnsi="Verdana"/>
          <w:sz w:val="22"/>
          <w:szCs w:val="22"/>
        </w:rPr>
      </w:pPr>
      <w:r w:rsidRPr="00B35F79">
        <w:rPr>
          <w:rFonts w:ascii="Verdana" w:hAnsi="Verdana"/>
          <w:b/>
          <w:bCs/>
          <w:sz w:val="22"/>
          <w:szCs w:val="22"/>
        </w:rPr>
        <w:t>3. Les charges supplétives sont :</w:t>
      </w:r>
    </w:p>
    <w:p w14:paraId="76AEA3BA" w14:textId="02F2A574" w:rsidR="00EF520B" w:rsidRPr="00B35F79" w:rsidRDefault="00EF520B" w:rsidP="00B35F79">
      <w:pPr>
        <w:ind w:left="142"/>
        <w:jc w:val="left"/>
        <w:rPr>
          <w:rFonts w:ascii="Verdana" w:hAnsi="Verdana"/>
          <w:sz w:val="22"/>
          <w:szCs w:val="22"/>
        </w:rPr>
      </w:pPr>
      <w:r w:rsidRPr="00B35F79">
        <w:rPr>
          <w:rFonts w:ascii="Verdana" w:hAnsi="Verdana"/>
          <w:sz w:val="22"/>
          <w:szCs w:val="22"/>
        </w:rPr>
        <w:t>A. Des charges enregistrées en comptabilité générale mais exclues du calcul des coûts.</w:t>
      </w:r>
      <w:r w:rsidRPr="00B35F79">
        <w:rPr>
          <w:rFonts w:ascii="Verdana" w:hAnsi="Verdana"/>
          <w:sz w:val="22"/>
          <w:szCs w:val="22"/>
        </w:rPr>
        <w:br/>
        <w:t>B. Des charges exceptionnelles liées à des sinistres.</w:t>
      </w:r>
      <w:r w:rsidRPr="00B35F79">
        <w:rPr>
          <w:rFonts w:ascii="Verdana" w:hAnsi="Verdana"/>
          <w:sz w:val="22"/>
          <w:szCs w:val="22"/>
        </w:rPr>
        <w:br/>
        <w:t>C. Des charges incorporées aux coûts mais qui ne figurent pas en comptabilité générale (ex: rémunération théorique des capitaux propres).</w:t>
      </w:r>
      <w:r w:rsidRPr="00B35F79">
        <w:rPr>
          <w:rFonts w:ascii="Verdana" w:hAnsi="Verdana"/>
          <w:sz w:val="22"/>
          <w:szCs w:val="22"/>
        </w:rPr>
        <w:br/>
        <w:t>D. Des charges fixes qui deviennent variables.</w:t>
      </w:r>
    </w:p>
    <w:p w14:paraId="1A3A8206" w14:textId="77777777" w:rsidR="00EF520B" w:rsidRPr="00B35F79" w:rsidRDefault="00EF520B" w:rsidP="00EF520B">
      <w:pPr>
        <w:ind w:left="720"/>
        <w:jc w:val="left"/>
        <w:rPr>
          <w:rFonts w:ascii="Verdana" w:hAnsi="Verdana"/>
          <w:sz w:val="22"/>
          <w:szCs w:val="22"/>
        </w:rPr>
      </w:pPr>
    </w:p>
    <w:p w14:paraId="24CC046B" w14:textId="77777777" w:rsidR="00EF520B" w:rsidRPr="00B35F79" w:rsidRDefault="00EF520B" w:rsidP="00EF520B">
      <w:pPr>
        <w:jc w:val="left"/>
        <w:rPr>
          <w:rFonts w:ascii="Verdana" w:hAnsi="Verdana"/>
          <w:b/>
          <w:bCs/>
          <w:sz w:val="22"/>
          <w:szCs w:val="22"/>
        </w:rPr>
      </w:pPr>
      <w:r w:rsidRPr="00B35F79">
        <w:rPr>
          <w:rFonts w:ascii="Verdana" w:hAnsi="Verdana"/>
          <w:b/>
          <w:bCs/>
          <w:sz w:val="22"/>
          <w:szCs w:val="22"/>
        </w:rPr>
        <w:t>Partie 2 : Les coûts partiels et le seuil de rentabilité</w:t>
      </w:r>
    </w:p>
    <w:p w14:paraId="027B563C" w14:textId="77777777" w:rsidR="00EF520B" w:rsidRPr="00B35F79" w:rsidRDefault="00EF520B" w:rsidP="00EF520B">
      <w:pPr>
        <w:jc w:val="left"/>
        <w:rPr>
          <w:rFonts w:ascii="Verdana" w:hAnsi="Verdana"/>
          <w:b/>
          <w:bCs/>
          <w:sz w:val="22"/>
          <w:szCs w:val="22"/>
        </w:rPr>
      </w:pPr>
    </w:p>
    <w:p w14:paraId="255D3BF5" w14:textId="77777777" w:rsidR="00EF520B" w:rsidRPr="00B35F79" w:rsidRDefault="00EF520B" w:rsidP="00B35F79">
      <w:pPr>
        <w:ind w:left="284"/>
        <w:jc w:val="left"/>
        <w:rPr>
          <w:rFonts w:ascii="Verdana" w:hAnsi="Verdana"/>
          <w:sz w:val="22"/>
          <w:szCs w:val="22"/>
        </w:rPr>
      </w:pPr>
      <w:r w:rsidRPr="00B35F79">
        <w:rPr>
          <w:rFonts w:ascii="Verdana" w:hAnsi="Verdana"/>
          <w:b/>
          <w:bCs/>
          <w:sz w:val="22"/>
          <w:szCs w:val="22"/>
        </w:rPr>
        <w:t>4. Une entreprise réalise un Chiffre d'Affaires (CA) de 200 000 €. Ses Charges Variables (CV) sont de 120 000 € et ses Charges Fixes (CF) de 50 000 €. Quel est son Seuil de Rentabilité (SR) en valeur ?</w:t>
      </w:r>
    </w:p>
    <w:p w14:paraId="41D23B70" w14:textId="44204754" w:rsidR="00EF520B" w:rsidRPr="00B35F79" w:rsidRDefault="00EF520B" w:rsidP="00B35F79">
      <w:pPr>
        <w:ind w:left="284"/>
        <w:jc w:val="left"/>
        <w:rPr>
          <w:rFonts w:ascii="Verdana" w:hAnsi="Verdana"/>
          <w:sz w:val="22"/>
          <w:szCs w:val="22"/>
        </w:rPr>
      </w:pPr>
      <w:r w:rsidRPr="00B35F79">
        <w:rPr>
          <w:rFonts w:ascii="Verdana" w:hAnsi="Verdana"/>
          <w:sz w:val="22"/>
          <w:szCs w:val="22"/>
        </w:rPr>
        <w:t>A. 80 000 €</w:t>
      </w:r>
      <w:r w:rsidRPr="00B35F79">
        <w:rPr>
          <w:rFonts w:ascii="Verdana" w:hAnsi="Verdana"/>
          <w:sz w:val="22"/>
          <w:szCs w:val="22"/>
        </w:rPr>
        <w:br/>
        <w:t>B. 125 000 €</w:t>
      </w:r>
      <w:r w:rsidRPr="00B35F79">
        <w:rPr>
          <w:rFonts w:ascii="Verdana" w:hAnsi="Verdana"/>
          <w:sz w:val="22"/>
          <w:szCs w:val="22"/>
        </w:rPr>
        <w:br/>
        <w:t>C. 150 000 €</w:t>
      </w:r>
      <w:r w:rsidRPr="00B35F79">
        <w:rPr>
          <w:rFonts w:ascii="Verdana" w:hAnsi="Verdana"/>
          <w:sz w:val="22"/>
          <w:szCs w:val="22"/>
        </w:rPr>
        <w:br/>
        <w:t>D. 170 000 €</w:t>
      </w:r>
    </w:p>
    <w:p w14:paraId="554E2535" w14:textId="77777777" w:rsidR="00EF520B" w:rsidRPr="00B35F79" w:rsidRDefault="00EF520B" w:rsidP="00B35F79">
      <w:pPr>
        <w:ind w:left="284"/>
        <w:jc w:val="left"/>
        <w:rPr>
          <w:rFonts w:ascii="Verdana" w:hAnsi="Verdana"/>
          <w:sz w:val="22"/>
          <w:szCs w:val="22"/>
        </w:rPr>
      </w:pPr>
    </w:p>
    <w:p w14:paraId="01599773" w14:textId="77777777" w:rsidR="00EF520B" w:rsidRPr="00B35F79" w:rsidRDefault="00EF520B" w:rsidP="00B35F79">
      <w:pPr>
        <w:ind w:left="284"/>
        <w:jc w:val="left"/>
        <w:rPr>
          <w:rFonts w:ascii="Verdana" w:hAnsi="Verdana"/>
          <w:sz w:val="22"/>
          <w:szCs w:val="22"/>
        </w:rPr>
      </w:pPr>
      <w:r w:rsidRPr="00B35F79">
        <w:rPr>
          <w:rFonts w:ascii="Verdana" w:hAnsi="Verdana"/>
          <w:b/>
          <w:bCs/>
          <w:sz w:val="22"/>
          <w:szCs w:val="22"/>
        </w:rPr>
        <w:t>5. Le levier opérationnel mesure :</w:t>
      </w:r>
    </w:p>
    <w:p w14:paraId="393F04DD" w14:textId="19D451FA" w:rsidR="00EF520B" w:rsidRPr="00B35F79" w:rsidRDefault="00EF520B" w:rsidP="00B35F79">
      <w:pPr>
        <w:ind w:left="284"/>
        <w:jc w:val="left"/>
        <w:rPr>
          <w:rFonts w:ascii="Verdana" w:hAnsi="Verdana"/>
          <w:sz w:val="22"/>
          <w:szCs w:val="22"/>
        </w:rPr>
      </w:pPr>
      <w:r w:rsidRPr="00B35F79">
        <w:rPr>
          <w:rFonts w:ascii="Verdana" w:hAnsi="Verdana"/>
          <w:sz w:val="22"/>
          <w:szCs w:val="22"/>
        </w:rPr>
        <w:t>A. La part des dettes dans le financement de l'entreprise.</w:t>
      </w:r>
      <w:r w:rsidRPr="00B35F79">
        <w:rPr>
          <w:rFonts w:ascii="Verdana" w:hAnsi="Verdana"/>
          <w:sz w:val="22"/>
          <w:szCs w:val="22"/>
        </w:rPr>
        <w:br/>
        <w:t>B. La sensibilité du résultat d'exploitation à une variation du chiffre d'affaires.</w:t>
      </w:r>
      <w:r w:rsidRPr="00B35F79">
        <w:rPr>
          <w:rFonts w:ascii="Verdana" w:hAnsi="Verdana"/>
          <w:sz w:val="22"/>
          <w:szCs w:val="22"/>
        </w:rPr>
        <w:br/>
      </w:r>
      <w:r w:rsidRPr="00B35F79">
        <w:rPr>
          <w:rFonts w:ascii="Verdana" w:hAnsi="Verdana"/>
          <w:sz w:val="22"/>
          <w:szCs w:val="22"/>
        </w:rPr>
        <w:lastRenderedPageBreak/>
        <w:t>C. Le rapport entre les charges fixes et les charges variables.</w:t>
      </w:r>
      <w:r w:rsidRPr="00B35F79">
        <w:rPr>
          <w:rFonts w:ascii="Verdana" w:hAnsi="Verdana"/>
          <w:sz w:val="22"/>
          <w:szCs w:val="22"/>
        </w:rPr>
        <w:br/>
        <w:t>D. La capacité de l'entreprise à payer ses fournisseurs.</w:t>
      </w:r>
    </w:p>
    <w:p w14:paraId="4F608B66" w14:textId="77777777" w:rsidR="00EF520B" w:rsidRPr="00B35F79" w:rsidRDefault="00EF520B" w:rsidP="00B35F79">
      <w:pPr>
        <w:ind w:left="284"/>
        <w:jc w:val="left"/>
        <w:rPr>
          <w:rFonts w:ascii="Verdana" w:hAnsi="Verdana"/>
          <w:sz w:val="22"/>
          <w:szCs w:val="22"/>
        </w:rPr>
      </w:pPr>
    </w:p>
    <w:p w14:paraId="562EF654" w14:textId="77777777" w:rsidR="00EF520B" w:rsidRPr="00B35F79" w:rsidRDefault="00EF520B" w:rsidP="00B35F79">
      <w:pPr>
        <w:ind w:left="284"/>
        <w:jc w:val="left"/>
        <w:rPr>
          <w:rFonts w:ascii="Verdana" w:hAnsi="Verdana"/>
          <w:sz w:val="22"/>
          <w:szCs w:val="22"/>
        </w:rPr>
      </w:pPr>
      <w:r w:rsidRPr="00B35F79">
        <w:rPr>
          <w:rFonts w:ascii="Verdana" w:hAnsi="Verdana"/>
          <w:b/>
          <w:bCs/>
          <w:sz w:val="22"/>
          <w:szCs w:val="22"/>
        </w:rPr>
        <w:t>6. Si la marge sur coût variable est positive mais que le résultat est négatif, cela signifie que :</w:t>
      </w:r>
    </w:p>
    <w:p w14:paraId="41AA6F92" w14:textId="62C90E1A" w:rsidR="00EF520B" w:rsidRPr="00B35F79" w:rsidRDefault="00EF520B" w:rsidP="00B35F79">
      <w:pPr>
        <w:ind w:left="284"/>
        <w:jc w:val="left"/>
        <w:rPr>
          <w:rFonts w:ascii="Verdana" w:hAnsi="Verdana"/>
          <w:sz w:val="22"/>
          <w:szCs w:val="22"/>
        </w:rPr>
      </w:pPr>
      <w:r w:rsidRPr="00B35F79">
        <w:rPr>
          <w:rFonts w:ascii="Verdana" w:hAnsi="Verdana"/>
          <w:sz w:val="22"/>
          <w:szCs w:val="22"/>
        </w:rPr>
        <w:t>A. Les charges variables sont supérieures au chiffre d'affaires.</w:t>
      </w:r>
      <w:r w:rsidRPr="00B35F79">
        <w:rPr>
          <w:rFonts w:ascii="Verdana" w:hAnsi="Verdana"/>
          <w:sz w:val="22"/>
          <w:szCs w:val="22"/>
        </w:rPr>
        <w:br/>
        <w:t>B. L'entreprise a fait une erreur de calcul.</w:t>
      </w:r>
      <w:r w:rsidRPr="00B35F79">
        <w:rPr>
          <w:rFonts w:ascii="Verdana" w:hAnsi="Verdana"/>
          <w:sz w:val="22"/>
          <w:szCs w:val="22"/>
        </w:rPr>
        <w:br/>
        <w:t>C. La marge sur coût variable ne suffit pas à couvrir les charges fixes.</w:t>
      </w:r>
      <w:r w:rsidRPr="00B35F79">
        <w:rPr>
          <w:rFonts w:ascii="Verdana" w:hAnsi="Verdana"/>
          <w:sz w:val="22"/>
          <w:szCs w:val="22"/>
        </w:rPr>
        <w:br/>
        <w:t>D. Le seuil de rentabilité est atteint.</w:t>
      </w:r>
    </w:p>
    <w:p w14:paraId="3B7D284A" w14:textId="77777777" w:rsidR="00EF520B" w:rsidRPr="00B35F79" w:rsidRDefault="00EF520B" w:rsidP="00EF520B">
      <w:pPr>
        <w:ind w:left="720"/>
        <w:jc w:val="left"/>
        <w:rPr>
          <w:rFonts w:ascii="Verdana" w:hAnsi="Verdana"/>
          <w:sz w:val="22"/>
          <w:szCs w:val="22"/>
        </w:rPr>
      </w:pPr>
    </w:p>
    <w:p w14:paraId="42871359" w14:textId="77777777" w:rsidR="00EF520B" w:rsidRPr="00B35F79" w:rsidRDefault="00EF520B" w:rsidP="00EF520B">
      <w:pPr>
        <w:jc w:val="left"/>
        <w:rPr>
          <w:rFonts w:ascii="Verdana" w:hAnsi="Verdana"/>
          <w:b/>
          <w:bCs/>
          <w:sz w:val="22"/>
          <w:szCs w:val="22"/>
        </w:rPr>
      </w:pPr>
      <w:r w:rsidRPr="00B35F79">
        <w:rPr>
          <w:rFonts w:ascii="Verdana" w:hAnsi="Verdana"/>
          <w:b/>
          <w:bCs/>
          <w:sz w:val="22"/>
          <w:szCs w:val="22"/>
        </w:rPr>
        <w:t>Partie 3 : La gestion budgétaire et les écarts</w:t>
      </w:r>
    </w:p>
    <w:p w14:paraId="6F0DC94D" w14:textId="77777777" w:rsidR="00EF520B" w:rsidRPr="00B35F79" w:rsidRDefault="00EF520B" w:rsidP="00EF520B">
      <w:pPr>
        <w:jc w:val="left"/>
        <w:rPr>
          <w:rFonts w:ascii="Verdana" w:hAnsi="Verdana"/>
          <w:b/>
          <w:bCs/>
          <w:sz w:val="22"/>
          <w:szCs w:val="22"/>
        </w:rPr>
      </w:pPr>
    </w:p>
    <w:p w14:paraId="045BE3B0" w14:textId="77777777" w:rsidR="00EF520B" w:rsidRPr="00B35F79" w:rsidRDefault="00EF520B" w:rsidP="00EF520B">
      <w:pPr>
        <w:ind w:left="720"/>
        <w:jc w:val="left"/>
        <w:rPr>
          <w:rFonts w:ascii="Verdana" w:hAnsi="Verdana"/>
          <w:sz w:val="22"/>
          <w:szCs w:val="22"/>
        </w:rPr>
      </w:pPr>
      <w:r w:rsidRPr="00B35F79">
        <w:rPr>
          <w:rFonts w:ascii="Verdana" w:hAnsi="Verdana"/>
          <w:b/>
          <w:bCs/>
          <w:sz w:val="22"/>
          <w:szCs w:val="22"/>
        </w:rPr>
        <w:t>7. Dans la hiérarchie des budgets, quel budget doit être élaboré en premier (le "budget déterminant") ?</w:t>
      </w:r>
    </w:p>
    <w:p w14:paraId="52FE18F8" w14:textId="42885CC6" w:rsidR="00EF520B" w:rsidRPr="00B35F79" w:rsidRDefault="00EF520B" w:rsidP="00EF520B">
      <w:pPr>
        <w:ind w:left="1440"/>
        <w:jc w:val="left"/>
        <w:rPr>
          <w:rFonts w:ascii="Verdana" w:hAnsi="Verdana"/>
          <w:sz w:val="22"/>
          <w:szCs w:val="22"/>
        </w:rPr>
      </w:pPr>
      <w:r w:rsidRPr="00B35F79">
        <w:rPr>
          <w:rFonts w:ascii="Verdana" w:hAnsi="Verdana"/>
          <w:sz w:val="22"/>
          <w:szCs w:val="22"/>
        </w:rPr>
        <w:t>A. Le budget des approvisionnements.</w:t>
      </w:r>
      <w:r w:rsidRPr="00B35F79">
        <w:rPr>
          <w:rFonts w:ascii="Verdana" w:hAnsi="Verdana"/>
          <w:sz w:val="22"/>
          <w:szCs w:val="22"/>
        </w:rPr>
        <w:br/>
        <w:t>B. Le budget de trésorerie.</w:t>
      </w:r>
      <w:r w:rsidRPr="00B35F79">
        <w:rPr>
          <w:rFonts w:ascii="Verdana" w:hAnsi="Verdana"/>
          <w:sz w:val="22"/>
          <w:szCs w:val="22"/>
        </w:rPr>
        <w:br/>
        <w:t>C. Le budget de production.</w:t>
      </w:r>
      <w:r w:rsidRPr="00B35F79">
        <w:rPr>
          <w:rFonts w:ascii="Verdana" w:hAnsi="Verdana"/>
          <w:sz w:val="22"/>
          <w:szCs w:val="22"/>
        </w:rPr>
        <w:br/>
        <w:t>D. Le budget des ventes.</w:t>
      </w:r>
    </w:p>
    <w:p w14:paraId="6CB76E45" w14:textId="77777777" w:rsidR="00EF520B" w:rsidRPr="00B35F79" w:rsidRDefault="00EF520B" w:rsidP="00EF520B">
      <w:pPr>
        <w:ind w:left="1440"/>
        <w:jc w:val="left"/>
        <w:rPr>
          <w:rFonts w:ascii="Verdana" w:hAnsi="Verdana"/>
          <w:sz w:val="22"/>
          <w:szCs w:val="22"/>
        </w:rPr>
      </w:pPr>
    </w:p>
    <w:p w14:paraId="4EC88202" w14:textId="77777777" w:rsidR="00EF520B" w:rsidRPr="00B35F79" w:rsidRDefault="00EF520B" w:rsidP="00EF520B">
      <w:pPr>
        <w:ind w:left="720"/>
        <w:jc w:val="left"/>
        <w:rPr>
          <w:rFonts w:ascii="Verdana" w:hAnsi="Verdana"/>
          <w:sz w:val="22"/>
          <w:szCs w:val="22"/>
        </w:rPr>
      </w:pPr>
      <w:r w:rsidRPr="00B35F79">
        <w:rPr>
          <w:rFonts w:ascii="Verdana" w:hAnsi="Verdana"/>
          <w:b/>
          <w:bCs/>
          <w:sz w:val="22"/>
          <w:szCs w:val="22"/>
        </w:rPr>
        <w:t>8. Dans l'analyse des écarts sur charges directes, un "écart sur quantité" défavorable signifie que :</w:t>
      </w:r>
    </w:p>
    <w:p w14:paraId="7910C18D" w14:textId="489D1F59" w:rsidR="00EF520B" w:rsidRPr="00B35F79" w:rsidRDefault="00EF520B" w:rsidP="00EF520B">
      <w:pPr>
        <w:ind w:left="1440"/>
        <w:jc w:val="left"/>
        <w:rPr>
          <w:rFonts w:ascii="Verdana" w:hAnsi="Verdana"/>
          <w:sz w:val="22"/>
          <w:szCs w:val="22"/>
        </w:rPr>
      </w:pPr>
      <w:r w:rsidRPr="00B35F79">
        <w:rPr>
          <w:rFonts w:ascii="Verdana" w:hAnsi="Verdana"/>
          <w:sz w:val="22"/>
          <w:szCs w:val="22"/>
        </w:rPr>
        <w:t>A. L'entreprise a payé ses matières premières plus cher que prévu.</w:t>
      </w:r>
      <w:r w:rsidRPr="00B35F79">
        <w:rPr>
          <w:rFonts w:ascii="Verdana" w:hAnsi="Verdana"/>
          <w:sz w:val="22"/>
          <w:szCs w:val="22"/>
        </w:rPr>
        <w:br/>
        <w:t>B. L'entreprise a consommé plus de matières premières que la norme préétablie pour la production réelle.</w:t>
      </w:r>
      <w:r w:rsidRPr="00B35F79">
        <w:rPr>
          <w:rFonts w:ascii="Verdana" w:hAnsi="Verdana"/>
          <w:sz w:val="22"/>
          <w:szCs w:val="22"/>
        </w:rPr>
        <w:br/>
        <w:t>C. La production réelle a été inférieure à la production prévue.</w:t>
      </w:r>
      <w:r w:rsidRPr="00B35F79">
        <w:rPr>
          <w:rFonts w:ascii="Verdana" w:hAnsi="Verdana"/>
          <w:sz w:val="22"/>
          <w:szCs w:val="22"/>
        </w:rPr>
        <w:br/>
        <w:t>D. Le coût standard unitaire a augmenté.</w:t>
      </w:r>
    </w:p>
    <w:p w14:paraId="3FE5CDC9" w14:textId="77777777" w:rsidR="00EF520B" w:rsidRPr="00B35F79" w:rsidRDefault="00EF520B" w:rsidP="00EF520B">
      <w:pPr>
        <w:ind w:left="1440"/>
        <w:jc w:val="left"/>
        <w:rPr>
          <w:rFonts w:ascii="Verdana" w:hAnsi="Verdana"/>
          <w:sz w:val="22"/>
          <w:szCs w:val="22"/>
        </w:rPr>
      </w:pPr>
    </w:p>
    <w:p w14:paraId="200149C5" w14:textId="77777777" w:rsidR="00EF520B" w:rsidRPr="00B35F79" w:rsidRDefault="00EF520B" w:rsidP="00EF520B">
      <w:pPr>
        <w:ind w:left="720"/>
        <w:jc w:val="left"/>
        <w:rPr>
          <w:rFonts w:ascii="Verdana" w:hAnsi="Verdana"/>
          <w:sz w:val="22"/>
          <w:szCs w:val="22"/>
        </w:rPr>
      </w:pPr>
      <w:r w:rsidRPr="00B35F79">
        <w:rPr>
          <w:rFonts w:ascii="Verdana" w:hAnsi="Verdana"/>
          <w:b/>
          <w:bCs/>
          <w:sz w:val="22"/>
          <w:szCs w:val="22"/>
        </w:rPr>
        <w:t>9. Le budget de trésorerie enregistre les flux :</w:t>
      </w:r>
    </w:p>
    <w:p w14:paraId="12DE27CD" w14:textId="2896106F" w:rsidR="00EF520B" w:rsidRPr="00B35F79" w:rsidRDefault="00EF520B" w:rsidP="00EF520B">
      <w:pPr>
        <w:ind w:left="1440"/>
        <w:jc w:val="left"/>
        <w:rPr>
          <w:rFonts w:ascii="Verdana" w:hAnsi="Verdana"/>
          <w:sz w:val="22"/>
          <w:szCs w:val="22"/>
        </w:rPr>
      </w:pPr>
      <w:r w:rsidRPr="00B35F79">
        <w:rPr>
          <w:rFonts w:ascii="Verdana" w:hAnsi="Verdana"/>
          <w:sz w:val="22"/>
          <w:szCs w:val="22"/>
        </w:rPr>
        <w:t>A. En fonction de la date de facturation (créances et dettes).</w:t>
      </w:r>
      <w:r w:rsidRPr="00B35F79">
        <w:rPr>
          <w:rFonts w:ascii="Verdana" w:hAnsi="Verdana"/>
          <w:sz w:val="22"/>
          <w:szCs w:val="22"/>
        </w:rPr>
        <w:br/>
        <w:t>B. En fonction des encaissements et des décaissements réels (TTC).</w:t>
      </w:r>
      <w:r w:rsidRPr="00B35F79">
        <w:rPr>
          <w:rFonts w:ascii="Verdana" w:hAnsi="Verdana"/>
          <w:sz w:val="22"/>
          <w:szCs w:val="22"/>
        </w:rPr>
        <w:br/>
        <w:t>C. En fonction des charges et des produits (HT).</w:t>
      </w:r>
      <w:r w:rsidRPr="00B35F79">
        <w:rPr>
          <w:rFonts w:ascii="Verdana" w:hAnsi="Verdana"/>
          <w:sz w:val="22"/>
          <w:szCs w:val="22"/>
        </w:rPr>
        <w:br/>
        <w:t>D. Uniquement pour les opérations d'exploitation.</w:t>
      </w:r>
    </w:p>
    <w:p w14:paraId="1F9D8AE6" w14:textId="77777777" w:rsidR="00EF520B" w:rsidRPr="00B35F79" w:rsidRDefault="00EF520B" w:rsidP="00EF520B">
      <w:pPr>
        <w:ind w:left="1440"/>
        <w:jc w:val="left"/>
        <w:rPr>
          <w:rFonts w:ascii="Verdana" w:hAnsi="Verdana"/>
          <w:sz w:val="22"/>
          <w:szCs w:val="22"/>
        </w:rPr>
      </w:pPr>
    </w:p>
    <w:p w14:paraId="0F52DF7A" w14:textId="77777777" w:rsidR="00EF520B" w:rsidRPr="00B35F79" w:rsidRDefault="00EF520B" w:rsidP="00EF520B">
      <w:pPr>
        <w:ind w:left="720"/>
        <w:jc w:val="left"/>
        <w:rPr>
          <w:rFonts w:ascii="Verdana" w:hAnsi="Verdana"/>
          <w:sz w:val="22"/>
          <w:szCs w:val="22"/>
        </w:rPr>
      </w:pPr>
      <w:r w:rsidRPr="00B35F79">
        <w:rPr>
          <w:rFonts w:ascii="Verdana" w:hAnsi="Verdana"/>
          <w:b/>
          <w:bCs/>
          <w:sz w:val="22"/>
          <w:szCs w:val="22"/>
        </w:rPr>
        <w:t>10. La méthode ABC (Activity Based Costing) se distingue de la méthode des coûts complets traditionnels car :</w:t>
      </w:r>
    </w:p>
    <w:p w14:paraId="6FA99466" w14:textId="751059D3" w:rsidR="00EF520B" w:rsidRPr="00B35F79" w:rsidRDefault="00EF520B" w:rsidP="00EF520B">
      <w:pPr>
        <w:ind w:left="1440"/>
        <w:jc w:val="left"/>
        <w:rPr>
          <w:rFonts w:ascii="Verdana" w:hAnsi="Verdana"/>
          <w:sz w:val="22"/>
          <w:szCs w:val="22"/>
        </w:rPr>
      </w:pPr>
      <w:r w:rsidRPr="00B35F79">
        <w:rPr>
          <w:rFonts w:ascii="Verdana" w:hAnsi="Verdana"/>
          <w:sz w:val="22"/>
          <w:szCs w:val="22"/>
        </w:rPr>
        <w:t>A. Elle ne prend en compte que les coûts variables.</w:t>
      </w:r>
      <w:r w:rsidRPr="00B35F79">
        <w:rPr>
          <w:rFonts w:ascii="Verdana" w:hAnsi="Verdana"/>
          <w:sz w:val="22"/>
          <w:szCs w:val="22"/>
        </w:rPr>
        <w:br/>
        <w:t>B. Elle répartit les charges indirectes en fonction des "inducteurs de coûts" liés aux activités, et non plus via des unités d'œuvre volumiques.</w:t>
      </w:r>
      <w:r w:rsidRPr="00B35F79">
        <w:rPr>
          <w:rFonts w:ascii="Verdana" w:hAnsi="Verdana"/>
          <w:sz w:val="22"/>
          <w:szCs w:val="22"/>
        </w:rPr>
        <w:br/>
        <w:t>C. Elle est obligatoire fiscalement.</w:t>
      </w:r>
      <w:r w:rsidRPr="00B35F79">
        <w:rPr>
          <w:rFonts w:ascii="Verdana" w:hAnsi="Verdana"/>
          <w:sz w:val="22"/>
          <w:szCs w:val="22"/>
        </w:rPr>
        <w:br/>
        <w:t>D. Elle supprime la distinction entre charges directes et indirectes.</w:t>
      </w:r>
    </w:p>
    <w:p w14:paraId="6662DE60" w14:textId="77777777" w:rsidR="00B35F79" w:rsidRDefault="00B35F79" w:rsidP="00EF520B">
      <w:pPr>
        <w:jc w:val="left"/>
        <w:rPr>
          <w:rFonts w:ascii="Verdana" w:hAnsi="Verdana"/>
          <w:sz w:val="22"/>
          <w:szCs w:val="22"/>
        </w:rPr>
      </w:pPr>
    </w:p>
    <w:p w14:paraId="0319710B" w14:textId="2C215B78" w:rsidR="00B35F79" w:rsidRDefault="00B35F79" w:rsidP="00EF520B">
      <w:pPr>
        <w:jc w:val="left"/>
        <w:rPr>
          <w:rFonts w:ascii="Verdana" w:hAnsi="Verdana"/>
          <w:sz w:val="22"/>
          <w:szCs w:val="22"/>
        </w:rPr>
      </w:pPr>
      <w:r>
        <w:rPr>
          <w:rFonts w:ascii="Verdana" w:hAnsi="Verdana"/>
          <w:sz w:val="22"/>
          <w:szCs w:val="22"/>
        </w:rPr>
        <w:t>Résultat :</w:t>
      </w:r>
    </w:p>
    <w:p w14:paraId="60915F73" w14:textId="10E22776" w:rsidR="00EF520B" w:rsidRPr="00B35F79" w:rsidRDefault="00EF520B" w:rsidP="00EF520B">
      <w:pPr>
        <w:jc w:val="left"/>
        <w:rPr>
          <w:rFonts w:ascii="Verdana" w:hAnsi="Verdana"/>
          <w:b/>
          <w:bCs/>
          <w:sz w:val="22"/>
          <w:szCs w:val="22"/>
        </w:rPr>
      </w:pPr>
      <w:r w:rsidRPr="00B35F79">
        <w:rPr>
          <w:rFonts w:ascii="Verdana" w:hAnsi="Verdana"/>
          <w:b/>
          <w:bCs/>
          <w:sz w:val="22"/>
          <w:szCs w:val="22"/>
        </w:rPr>
        <w:t>Réponses Circonstanciées</w:t>
      </w:r>
    </w:p>
    <w:p w14:paraId="4407B5B0" w14:textId="77777777" w:rsidR="00EF520B" w:rsidRPr="00B35F79" w:rsidRDefault="00EF520B" w:rsidP="00EF520B">
      <w:pPr>
        <w:jc w:val="left"/>
        <w:rPr>
          <w:rFonts w:ascii="Verdana" w:hAnsi="Verdana"/>
          <w:sz w:val="22"/>
          <w:szCs w:val="22"/>
        </w:rPr>
      </w:pPr>
      <w:r w:rsidRPr="00B35F79">
        <w:rPr>
          <w:rFonts w:ascii="Verdana" w:hAnsi="Verdana"/>
          <w:sz w:val="22"/>
          <w:szCs w:val="22"/>
        </w:rPr>
        <w:t>Vous trouverez ci-dessous les réponses correctes accompagnées des explications techniques.</w:t>
      </w:r>
    </w:p>
    <w:p w14:paraId="0A87E5DA" w14:textId="77777777" w:rsidR="00EF520B" w:rsidRPr="00B35F79" w:rsidRDefault="00EF520B" w:rsidP="00EF520B">
      <w:pPr>
        <w:jc w:val="left"/>
        <w:rPr>
          <w:rFonts w:ascii="Verdana" w:hAnsi="Verdana"/>
          <w:b/>
          <w:bCs/>
          <w:sz w:val="22"/>
          <w:szCs w:val="22"/>
        </w:rPr>
      </w:pPr>
    </w:p>
    <w:p w14:paraId="76D204E4" w14:textId="26043592"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1 : Réponse B</w:t>
      </w:r>
    </w:p>
    <w:p w14:paraId="4B72356F" w14:textId="77777777" w:rsidR="00EF520B" w:rsidRPr="00B35F79" w:rsidRDefault="00EF520B" w:rsidP="00EF520B">
      <w:pPr>
        <w:numPr>
          <w:ilvl w:val="0"/>
          <w:numId w:val="8"/>
        </w:numPr>
        <w:jc w:val="left"/>
        <w:rPr>
          <w:rFonts w:ascii="Verdana" w:hAnsi="Verdana"/>
          <w:sz w:val="22"/>
          <w:szCs w:val="22"/>
        </w:rPr>
      </w:pPr>
      <w:r w:rsidRPr="00B35F79">
        <w:rPr>
          <w:rFonts w:ascii="Verdana" w:hAnsi="Verdana"/>
          <w:b/>
          <w:bCs/>
          <w:sz w:val="22"/>
          <w:szCs w:val="22"/>
        </w:rPr>
        <w:t>Réponse B (Correcte) :</w:t>
      </w:r>
      <w:r w:rsidRPr="00B35F79">
        <w:rPr>
          <w:rFonts w:ascii="Verdana" w:hAnsi="Verdana"/>
          <w:sz w:val="22"/>
          <w:szCs w:val="22"/>
        </w:rPr>
        <w:t> Une charge directe est une charge qui concerne un seul coût (un seul produit, un seul service). Elle est affectée directement sans calcul de répartition (ex: bois pour un meuble).</w:t>
      </w:r>
    </w:p>
    <w:p w14:paraId="7778C4CE" w14:textId="77777777" w:rsidR="00EF520B" w:rsidRPr="00B35F79" w:rsidRDefault="00EF520B" w:rsidP="00EF520B">
      <w:pPr>
        <w:numPr>
          <w:ilvl w:val="0"/>
          <w:numId w:val="8"/>
        </w:numPr>
        <w:jc w:val="left"/>
        <w:rPr>
          <w:rFonts w:ascii="Verdana" w:hAnsi="Verdana"/>
          <w:sz w:val="22"/>
          <w:szCs w:val="22"/>
        </w:rPr>
      </w:pPr>
      <w:r w:rsidRPr="00B35F79">
        <w:rPr>
          <w:rFonts w:ascii="Verdana" w:hAnsi="Verdana"/>
          <w:i/>
          <w:iCs/>
          <w:sz w:val="22"/>
          <w:szCs w:val="22"/>
        </w:rPr>
        <w:t>Pourquoi pas A ?</w:t>
      </w:r>
      <w:r w:rsidRPr="00B35F79">
        <w:rPr>
          <w:rFonts w:ascii="Verdana" w:hAnsi="Verdana"/>
          <w:sz w:val="22"/>
          <w:szCs w:val="22"/>
        </w:rPr>
        <w:t> Cela définit une charge variable, pas forcément directe.</w:t>
      </w:r>
    </w:p>
    <w:p w14:paraId="6F22F8BC" w14:textId="77777777" w:rsidR="00EF520B" w:rsidRPr="00B35F79" w:rsidRDefault="00EF520B" w:rsidP="00EF520B">
      <w:pPr>
        <w:numPr>
          <w:ilvl w:val="0"/>
          <w:numId w:val="8"/>
        </w:numPr>
        <w:jc w:val="left"/>
        <w:rPr>
          <w:rFonts w:ascii="Verdana" w:hAnsi="Verdana"/>
          <w:sz w:val="22"/>
          <w:szCs w:val="22"/>
        </w:rPr>
      </w:pPr>
      <w:r w:rsidRPr="00B35F79">
        <w:rPr>
          <w:rFonts w:ascii="Verdana" w:hAnsi="Verdana"/>
          <w:i/>
          <w:iCs/>
          <w:sz w:val="22"/>
          <w:szCs w:val="22"/>
        </w:rPr>
        <w:t>Pourquoi pas C ?</w:t>
      </w:r>
      <w:r w:rsidRPr="00B35F79">
        <w:rPr>
          <w:rFonts w:ascii="Verdana" w:hAnsi="Verdana"/>
          <w:sz w:val="22"/>
          <w:szCs w:val="22"/>
        </w:rPr>
        <w:t> C'est la définition d'une charge indirecte (qui transite par des centres d'analyse).</w:t>
      </w:r>
    </w:p>
    <w:p w14:paraId="5FF71C44" w14:textId="77777777" w:rsidR="00EF520B" w:rsidRPr="00B35F79" w:rsidRDefault="00EF520B" w:rsidP="00EF520B">
      <w:pPr>
        <w:jc w:val="left"/>
        <w:rPr>
          <w:rFonts w:ascii="Verdana" w:hAnsi="Verdana"/>
          <w:b/>
          <w:bCs/>
          <w:sz w:val="22"/>
          <w:szCs w:val="22"/>
        </w:rPr>
      </w:pPr>
    </w:p>
    <w:p w14:paraId="2BAD45B3" w14:textId="181104F0"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2 : Réponse A</w:t>
      </w:r>
    </w:p>
    <w:p w14:paraId="0C5B5380" w14:textId="77777777" w:rsidR="00EF520B" w:rsidRPr="00B35F79" w:rsidRDefault="00EF520B" w:rsidP="00EF520B">
      <w:pPr>
        <w:numPr>
          <w:ilvl w:val="0"/>
          <w:numId w:val="9"/>
        </w:numPr>
        <w:jc w:val="left"/>
        <w:rPr>
          <w:rFonts w:ascii="Verdana" w:hAnsi="Verdana"/>
          <w:sz w:val="22"/>
          <w:szCs w:val="22"/>
        </w:rPr>
      </w:pPr>
      <w:r w:rsidRPr="00B35F79">
        <w:rPr>
          <w:rFonts w:ascii="Verdana" w:hAnsi="Verdana"/>
          <w:b/>
          <w:bCs/>
          <w:sz w:val="22"/>
          <w:szCs w:val="22"/>
        </w:rPr>
        <w:t>Réponse A (Correcte) :</w:t>
      </w:r>
      <w:r w:rsidRPr="00B35F79">
        <w:rPr>
          <w:rFonts w:ascii="Verdana" w:hAnsi="Verdana"/>
          <w:sz w:val="22"/>
          <w:szCs w:val="22"/>
        </w:rPr>
        <w:t> L'Unité d'Œuvre (UO) est la clé de répartition physique (heure machine, kg acheté, heure main-d'œuvre) qui sert à vider les centres d'analyse principaux dans le coût des produits.</w:t>
      </w:r>
    </w:p>
    <w:p w14:paraId="269EFF3D" w14:textId="77777777" w:rsidR="00EF520B" w:rsidRPr="00B35F79" w:rsidRDefault="00EF520B" w:rsidP="00EF520B">
      <w:pPr>
        <w:numPr>
          <w:ilvl w:val="0"/>
          <w:numId w:val="9"/>
        </w:numPr>
        <w:jc w:val="left"/>
        <w:rPr>
          <w:rFonts w:ascii="Verdana" w:hAnsi="Verdana"/>
          <w:sz w:val="22"/>
          <w:szCs w:val="22"/>
        </w:rPr>
      </w:pPr>
      <w:r w:rsidRPr="00B35F79">
        <w:rPr>
          <w:rFonts w:ascii="Verdana" w:hAnsi="Verdana"/>
          <w:i/>
          <w:iCs/>
          <w:sz w:val="22"/>
          <w:szCs w:val="22"/>
        </w:rPr>
        <w:t>Précision :</w:t>
      </w:r>
      <w:r w:rsidRPr="00B35F79">
        <w:rPr>
          <w:rFonts w:ascii="Verdana" w:hAnsi="Verdana"/>
          <w:sz w:val="22"/>
          <w:szCs w:val="22"/>
        </w:rPr>
        <w:t> Pour les centres de structure où l'on ne peut pas définir d'unité physique, on utilise un "Taux de frais" basé sur une assiette monétaire.</w:t>
      </w:r>
    </w:p>
    <w:p w14:paraId="074FDEE0" w14:textId="77777777" w:rsidR="00EF520B" w:rsidRPr="00B35F79" w:rsidRDefault="00EF520B" w:rsidP="00EF520B">
      <w:pPr>
        <w:jc w:val="left"/>
        <w:rPr>
          <w:rFonts w:ascii="Verdana" w:hAnsi="Verdana"/>
          <w:b/>
          <w:bCs/>
          <w:sz w:val="22"/>
          <w:szCs w:val="22"/>
        </w:rPr>
      </w:pPr>
    </w:p>
    <w:p w14:paraId="3CB2814E" w14:textId="20375F4D"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3 : Réponse C</w:t>
      </w:r>
    </w:p>
    <w:p w14:paraId="4798FE20" w14:textId="77777777" w:rsidR="00EF520B" w:rsidRPr="00B35F79" w:rsidRDefault="00EF520B" w:rsidP="00EF520B">
      <w:pPr>
        <w:numPr>
          <w:ilvl w:val="0"/>
          <w:numId w:val="10"/>
        </w:numPr>
        <w:jc w:val="left"/>
        <w:rPr>
          <w:rFonts w:ascii="Verdana" w:hAnsi="Verdana"/>
          <w:sz w:val="22"/>
          <w:szCs w:val="22"/>
        </w:rPr>
      </w:pPr>
      <w:r w:rsidRPr="00B35F79">
        <w:rPr>
          <w:rFonts w:ascii="Verdana" w:hAnsi="Verdana"/>
          <w:b/>
          <w:bCs/>
          <w:sz w:val="22"/>
          <w:szCs w:val="22"/>
        </w:rPr>
        <w:t>Réponse C (Correcte) :</w:t>
      </w:r>
      <w:r w:rsidRPr="00B35F79">
        <w:rPr>
          <w:rFonts w:ascii="Verdana" w:hAnsi="Verdana"/>
          <w:sz w:val="22"/>
          <w:szCs w:val="22"/>
        </w:rPr>
        <w:t> En comptabilité de gestion, on veut refléter la réalité économique. On ajoute donc des charges fictives (supplétives) non enregistrées en compta générale, comme la rémunération du travail de l'exploitant individuel (qui ne se verse pas de salaire) ou la rémunération théorique des capitaux propres, pour comparer la rentabilité avec d'autres placements.</w:t>
      </w:r>
    </w:p>
    <w:p w14:paraId="5359DAD4" w14:textId="77777777" w:rsidR="00EF520B" w:rsidRPr="00B35F79" w:rsidRDefault="00EF520B" w:rsidP="00EF520B">
      <w:pPr>
        <w:numPr>
          <w:ilvl w:val="0"/>
          <w:numId w:val="10"/>
        </w:numPr>
        <w:jc w:val="left"/>
        <w:rPr>
          <w:rFonts w:ascii="Verdana" w:hAnsi="Verdana"/>
          <w:sz w:val="22"/>
          <w:szCs w:val="22"/>
        </w:rPr>
      </w:pPr>
      <w:r w:rsidRPr="00B35F79">
        <w:rPr>
          <w:rFonts w:ascii="Verdana" w:hAnsi="Verdana"/>
          <w:i/>
          <w:iCs/>
          <w:sz w:val="22"/>
          <w:szCs w:val="22"/>
        </w:rPr>
        <w:t>Pourquoi pas A ?</w:t>
      </w:r>
      <w:r w:rsidRPr="00B35F79">
        <w:rPr>
          <w:rFonts w:ascii="Verdana" w:hAnsi="Verdana"/>
          <w:sz w:val="22"/>
          <w:szCs w:val="22"/>
        </w:rPr>
        <w:t> Ce sont des "charges non incorporables".</w:t>
      </w:r>
    </w:p>
    <w:p w14:paraId="1F1C6ABC" w14:textId="77777777" w:rsidR="00EF520B" w:rsidRPr="00B35F79" w:rsidRDefault="00EF520B" w:rsidP="00EF520B">
      <w:pPr>
        <w:jc w:val="left"/>
        <w:rPr>
          <w:rFonts w:ascii="Verdana" w:hAnsi="Verdana"/>
          <w:b/>
          <w:bCs/>
          <w:sz w:val="22"/>
          <w:szCs w:val="22"/>
        </w:rPr>
      </w:pPr>
    </w:p>
    <w:p w14:paraId="392CE29D" w14:textId="07D20527"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4 : Réponse B</w:t>
      </w:r>
    </w:p>
    <w:p w14:paraId="01CB3FEA" w14:textId="77777777" w:rsidR="00EF520B" w:rsidRPr="00B35F79" w:rsidRDefault="00EF520B" w:rsidP="00EF520B">
      <w:pPr>
        <w:numPr>
          <w:ilvl w:val="0"/>
          <w:numId w:val="11"/>
        </w:numPr>
        <w:jc w:val="left"/>
        <w:rPr>
          <w:rFonts w:ascii="Verdana" w:hAnsi="Verdana"/>
          <w:sz w:val="22"/>
          <w:szCs w:val="22"/>
        </w:rPr>
      </w:pPr>
      <w:r w:rsidRPr="00B35F79">
        <w:rPr>
          <w:rFonts w:ascii="Verdana" w:hAnsi="Verdana"/>
          <w:b/>
          <w:bCs/>
          <w:sz w:val="22"/>
          <w:szCs w:val="22"/>
        </w:rPr>
        <w:t>Calcul :</w:t>
      </w:r>
    </w:p>
    <w:p w14:paraId="6D5FA7EE" w14:textId="77777777" w:rsidR="00EF520B" w:rsidRPr="00B35F79" w:rsidRDefault="00EF520B" w:rsidP="00EF520B">
      <w:pPr>
        <w:numPr>
          <w:ilvl w:val="1"/>
          <w:numId w:val="11"/>
        </w:numPr>
        <w:jc w:val="left"/>
        <w:rPr>
          <w:rFonts w:ascii="Verdana" w:hAnsi="Verdana"/>
          <w:sz w:val="22"/>
          <w:szCs w:val="22"/>
        </w:rPr>
      </w:pPr>
      <w:r w:rsidRPr="00B35F79">
        <w:rPr>
          <w:rFonts w:ascii="Verdana" w:hAnsi="Verdana"/>
          <w:sz w:val="22"/>
          <w:szCs w:val="22"/>
        </w:rPr>
        <w:t>Marge sur Coût Variable (MCV) = CA - CV = 200 000 - 120 000 = 80 000 €.</w:t>
      </w:r>
    </w:p>
    <w:p w14:paraId="09BA50F3" w14:textId="77777777" w:rsidR="00EF520B" w:rsidRPr="00B35F79" w:rsidRDefault="00EF520B" w:rsidP="00EF520B">
      <w:pPr>
        <w:numPr>
          <w:ilvl w:val="1"/>
          <w:numId w:val="11"/>
        </w:numPr>
        <w:jc w:val="left"/>
        <w:rPr>
          <w:rFonts w:ascii="Verdana" w:hAnsi="Verdana"/>
          <w:sz w:val="22"/>
          <w:szCs w:val="22"/>
        </w:rPr>
      </w:pPr>
      <w:r w:rsidRPr="00B35F79">
        <w:rPr>
          <w:rFonts w:ascii="Verdana" w:hAnsi="Verdana"/>
          <w:sz w:val="22"/>
          <w:szCs w:val="22"/>
        </w:rPr>
        <w:t>Taux de Marge sur CV (TMCV) = MCV / CA = 80 000 / 200 000 = 0,4 (soit 40%).</w:t>
      </w:r>
    </w:p>
    <w:p w14:paraId="4BC02BA8" w14:textId="77777777" w:rsidR="00EF520B" w:rsidRPr="00B35F79" w:rsidRDefault="00EF520B" w:rsidP="00EF520B">
      <w:pPr>
        <w:numPr>
          <w:ilvl w:val="1"/>
          <w:numId w:val="11"/>
        </w:numPr>
        <w:jc w:val="left"/>
        <w:rPr>
          <w:rFonts w:ascii="Verdana" w:hAnsi="Verdana"/>
          <w:sz w:val="22"/>
          <w:szCs w:val="22"/>
        </w:rPr>
      </w:pPr>
      <w:r w:rsidRPr="00B35F79">
        <w:rPr>
          <w:rFonts w:ascii="Verdana" w:hAnsi="Verdana"/>
          <w:sz w:val="22"/>
          <w:szCs w:val="22"/>
        </w:rPr>
        <w:t>Seuil de Rentabilité (SR) = Charges Fixes / Taux de MCV.</w:t>
      </w:r>
    </w:p>
    <w:p w14:paraId="26579A68" w14:textId="77777777" w:rsidR="00EF520B" w:rsidRPr="00B35F79" w:rsidRDefault="00EF520B" w:rsidP="00EF520B">
      <w:pPr>
        <w:numPr>
          <w:ilvl w:val="1"/>
          <w:numId w:val="11"/>
        </w:numPr>
        <w:jc w:val="left"/>
        <w:rPr>
          <w:rFonts w:ascii="Verdana" w:hAnsi="Verdana"/>
          <w:sz w:val="22"/>
          <w:szCs w:val="22"/>
        </w:rPr>
      </w:pPr>
      <w:r w:rsidRPr="00B35F79">
        <w:rPr>
          <w:rFonts w:ascii="Verdana" w:hAnsi="Verdana"/>
          <w:sz w:val="22"/>
          <w:szCs w:val="22"/>
        </w:rPr>
        <w:t>SR = 50 000 / 0,4 = </w:t>
      </w:r>
      <w:r w:rsidRPr="00B35F79">
        <w:rPr>
          <w:rFonts w:ascii="Verdana" w:hAnsi="Verdana"/>
          <w:b/>
          <w:bCs/>
          <w:sz w:val="22"/>
          <w:szCs w:val="22"/>
        </w:rPr>
        <w:t>125 000 €</w:t>
      </w:r>
      <w:r w:rsidRPr="00B35F79">
        <w:rPr>
          <w:rFonts w:ascii="Verdana" w:hAnsi="Verdana"/>
          <w:sz w:val="22"/>
          <w:szCs w:val="22"/>
        </w:rPr>
        <w:t>.</w:t>
      </w:r>
    </w:p>
    <w:p w14:paraId="482D2ADC" w14:textId="77777777" w:rsidR="00EF520B" w:rsidRPr="00B35F79" w:rsidRDefault="00EF520B" w:rsidP="00EF520B">
      <w:pPr>
        <w:jc w:val="left"/>
        <w:rPr>
          <w:rFonts w:ascii="Verdana" w:hAnsi="Verdana"/>
          <w:b/>
          <w:bCs/>
          <w:sz w:val="22"/>
          <w:szCs w:val="22"/>
        </w:rPr>
      </w:pPr>
    </w:p>
    <w:p w14:paraId="09CB6179" w14:textId="1A2CEA82"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5 : Réponse B</w:t>
      </w:r>
    </w:p>
    <w:p w14:paraId="41AAC1EF" w14:textId="77777777" w:rsidR="00EF520B" w:rsidRPr="00B35F79" w:rsidRDefault="00EF520B" w:rsidP="00EF520B">
      <w:pPr>
        <w:numPr>
          <w:ilvl w:val="0"/>
          <w:numId w:val="12"/>
        </w:numPr>
        <w:jc w:val="left"/>
        <w:rPr>
          <w:rFonts w:ascii="Verdana" w:hAnsi="Verdana"/>
          <w:sz w:val="22"/>
          <w:szCs w:val="22"/>
        </w:rPr>
      </w:pPr>
      <w:r w:rsidRPr="00B35F79">
        <w:rPr>
          <w:rFonts w:ascii="Verdana" w:hAnsi="Verdana"/>
          <w:b/>
          <w:bCs/>
          <w:sz w:val="22"/>
          <w:szCs w:val="22"/>
        </w:rPr>
        <w:t>Réponse B (Correcte) :</w:t>
      </w:r>
      <w:r w:rsidRPr="00B35F79">
        <w:rPr>
          <w:rFonts w:ascii="Verdana" w:hAnsi="Verdana"/>
          <w:sz w:val="22"/>
          <w:szCs w:val="22"/>
        </w:rPr>
        <w:t> Le levier opérationnel mesure l'élasticité du résultat par rapport au CA. Si le levier est de 3, cela signifie que si le CA augmente de 10%, le résultat augmentera de 30%. Il dépend du poids des charges fixes.</w:t>
      </w:r>
    </w:p>
    <w:p w14:paraId="5D90E1A2" w14:textId="77777777" w:rsidR="00EF520B" w:rsidRPr="00B35F79" w:rsidRDefault="00EF520B" w:rsidP="00EF520B">
      <w:pPr>
        <w:jc w:val="left"/>
        <w:rPr>
          <w:rFonts w:ascii="Verdana" w:hAnsi="Verdana"/>
          <w:b/>
          <w:bCs/>
          <w:sz w:val="22"/>
          <w:szCs w:val="22"/>
        </w:rPr>
      </w:pPr>
    </w:p>
    <w:p w14:paraId="4EDEBB4D" w14:textId="436039A9"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6 : Réponse C</w:t>
      </w:r>
    </w:p>
    <w:p w14:paraId="729B9363" w14:textId="77777777" w:rsidR="00EF520B" w:rsidRPr="00B35F79" w:rsidRDefault="00EF520B" w:rsidP="00EF520B">
      <w:pPr>
        <w:numPr>
          <w:ilvl w:val="0"/>
          <w:numId w:val="13"/>
        </w:numPr>
        <w:jc w:val="left"/>
        <w:rPr>
          <w:rFonts w:ascii="Verdana" w:hAnsi="Verdana"/>
          <w:sz w:val="22"/>
          <w:szCs w:val="22"/>
        </w:rPr>
      </w:pPr>
      <w:r w:rsidRPr="00B35F79">
        <w:rPr>
          <w:rFonts w:ascii="Verdana" w:hAnsi="Verdana"/>
          <w:b/>
          <w:bCs/>
          <w:sz w:val="22"/>
          <w:szCs w:val="22"/>
        </w:rPr>
        <w:t>Réponse C (Correcte) :</w:t>
      </w:r>
      <w:r w:rsidRPr="00B35F79">
        <w:rPr>
          <w:rFonts w:ascii="Verdana" w:hAnsi="Verdana"/>
          <w:sz w:val="22"/>
          <w:szCs w:val="22"/>
        </w:rPr>
        <w:t> Le résultat est égal à la Marge sur Coût Variable moins les Charges Fixes ($R = MCV - CF$). Si la MCV est positive (ex: +100) mais que le résultat est négatif (ex: -20), c'est mathématiquement parce que les Charges Fixes sont supérieures à la MCV (dans l'exemple, CF = 120).</w:t>
      </w:r>
    </w:p>
    <w:p w14:paraId="784D2A64" w14:textId="77777777" w:rsidR="00EF520B" w:rsidRPr="00B35F79" w:rsidRDefault="00EF520B" w:rsidP="00EF520B">
      <w:pPr>
        <w:jc w:val="left"/>
        <w:rPr>
          <w:rFonts w:ascii="Verdana" w:hAnsi="Verdana"/>
          <w:b/>
          <w:bCs/>
          <w:sz w:val="22"/>
          <w:szCs w:val="22"/>
        </w:rPr>
      </w:pPr>
    </w:p>
    <w:p w14:paraId="55724077" w14:textId="261B16FA"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7 : Réponse D</w:t>
      </w:r>
    </w:p>
    <w:p w14:paraId="31E165B2" w14:textId="410A5554" w:rsidR="00EF520B" w:rsidRPr="00B35F79" w:rsidRDefault="00EF520B" w:rsidP="00EF520B">
      <w:pPr>
        <w:numPr>
          <w:ilvl w:val="0"/>
          <w:numId w:val="14"/>
        </w:numPr>
        <w:jc w:val="left"/>
        <w:rPr>
          <w:rFonts w:ascii="Verdana" w:hAnsi="Verdana"/>
          <w:sz w:val="22"/>
          <w:szCs w:val="22"/>
        </w:rPr>
      </w:pPr>
      <w:r w:rsidRPr="00B35F79">
        <w:rPr>
          <w:rFonts w:ascii="Verdana" w:hAnsi="Verdana"/>
          <w:b/>
          <w:bCs/>
          <w:sz w:val="22"/>
          <w:szCs w:val="22"/>
        </w:rPr>
        <w:t>Réponse D (Correcte) :</w:t>
      </w:r>
      <w:r w:rsidRPr="00B35F79">
        <w:rPr>
          <w:rFonts w:ascii="Verdana" w:hAnsi="Verdana"/>
          <w:sz w:val="22"/>
          <w:szCs w:val="22"/>
        </w:rPr>
        <w:t> La construction budgétaire commence toujours par la contrainte principale du marché, c'est-à-dire les </w:t>
      </w:r>
      <w:r w:rsidRPr="00B35F79">
        <w:rPr>
          <w:rFonts w:ascii="Verdana" w:hAnsi="Verdana"/>
          <w:b/>
          <w:bCs/>
          <w:sz w:val="22"/>
          <w:szCs w:val="22"/>
        </w:rPr>
        <w:t>ventes</w:t>
      </w:r>
      <w:r w:rsidRPr="00B35F79">
        <w:rPr>
          <w:rFonts w:ascii="Verdana" w:hAnsi="Verdana"/>
          <w:sz w:val="22"/>
          <w:szCs w:val="22"/>
        </w:rPr>
        <w:t xml:space="preserve">. On ne produit que ce que l'on prévoit de vendre (ou stocker). L'enchaînement </w:t>
      </w:r>
      <w:r w:rsidR="00C1248D" w:rsidRPr="00B35F79">
        <w:rPr>
          <w:rFonts w:ascii="Verdana" w:hAnsi="Verdana"/>
          <w:sz w:val="22"/>
          <w:szCs w:val="22"/>
        </w:rPr>
        <w:t>"</w:t>
      </w:r>
      <w:r w:rsidRPr="00B35F79">
        <w:rPr>
          <w:rFonts w:ascii="Verdana" w:hAnsi="Verdana"/>
          <w:sz w:val="22"/>
          <w:szCs w:val="22"/>
        </w:rPr>
        <w:t>logique</w:t>
      </w:r>
      <w:r w:rsidR="00C1248D" w:rsidRPr="00B35F79">
        <w:rPr>
          <w:rFonts w:ascii="Verdana" w:hAnsi="Verdana"/>
          <w:sz w:val="22"/>
          <w:szCs w:val="22"/>
        </w:rPr>
        <w:t>"</w:t>
      </w:r>
      <w:r w:rsidRPr="00B35F79">
        <w:rPr>
          <w:rFonts w:ascii="Verdana" w:hAnsi="Verdana"/>
          <w:sz w:val="22"/>
          <w:szCs w:val="22"/>
        </w:rPr>
        <w:t xml:space="preserve"> est : Ventes </w:t>
      </w:r>
      <w:r w:rsidR="0061556E" w:rsidRPr="00B35F79">
        <w:rPr>
          <w:rFonts w:ascii="Verdana" w:hAnsi="Verdana"/>
          <w:sz w:val="22"/>
          <w:szCs w:val="22"/>
        </w:rPr>
        <w:t xml:space="preserve">=&gt; </w:t>
      </w:r>
      <w:r w:rsidRPr="00B35F79">
        <w:rPr>
          <w:rFonts w:ascii="Verdana" w:hAnsi="Verdana"/>
          <w:sz w:val="22"/>
          <w:szCs w:val="22"/>
        </w:rPr>
        <w:t xml:space="preserve">Production </w:t>
      </w:r>
      <w:r w:rsidR="0061556E" w:rsidRPr="00B35F79">
        <w:rPr>
          <w:rFonts w:ascii="Verdana" w:hAnsi="Verdana"/>
          <w:sz w:val="22"/>
          <w:szCs w:val="22"/>
        </w:rPr>
        <w:t>=&gt;</w:t>
      </w:r>
      <w:r w:rsidRPr="00B35F79">
        <w:rPr>
          <w:rFonts w:ascii="Verdana" w:hAnsi="Verdana"/>
          <w:sz w:val="22"/>
          <w:szCs w:val="22"/>
        </w:rPr>
        <w:t xml:space="preserve"> Approvisionnements </w:t>
      </w:r>
      <w:r w:rsidR="0061556E" w:rsidRPr="00B35F79">
        <w:rPr>
          <w:rFonts w:ascii="Verdana" w:hAnsi="Verdana"/>
          <w:sz w:val="22"/>
          <w:szCs w:val="22"/>
        </w:rPr>
        <w:t>=&gt;</w:t>
      </w:r>
      <w:r w:rsidRPr="00B35F79">
        <w:rPr>
          <w:rFonts w:ascii="Verdana" w:hAnsi="Verdana"/>
          <w:sz w:val="22"/>
          <w:szCs w:val="22"/>
        </w:rPr>
        <w:t xml:space="preserve"> Trésorerie.</w:t>
      </w:r>
    </w:p>
    <w:p w14:paraId="71BACB6D" w14:textId="77777777" w:rsidR="00EF520B" w:rsidRPr="00B35F79" w:rsidRDefault="00EF520B" w:rsidP="00EF520B">
      <w:pPr>
        <w:jc w:val="left"/>
        <w:rPr>
          <w:rFonts w:ascii="Verdana" w:hAnsi="Verdana"/>
          <w:b/>
          <w:bCs/>
          <w:sz w:val="22"/>
          <w:szCs w:val="22"/>
        </w:rPr>
      </w:pPr>
    </w:p>
    <w:p w14:paraId="2F073841" w14:textId="5D5A7156"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8 : Réponse B</w:t>
      </w:r>
    </w:p>
    <w:p w14:paraId="53788111" w14:textId="49949C3B" w:rsidR="00EF520B" w:rsidRPr="00B35F79" w:rsidRDefault="00EF520B" w:rsidP="00EF520B">
      <w:pPr>
        <w:numPr>
          <w:ilvl w:val="0"/>
          <w:numId w:val="15"/>
        </w:numPr>
        <w:jc w:val="left"/>
        <w:rPr>
          <w:rFonts w:ascii="Verdana" w:hAnsi="Verdana"/>
          <w:sz w:val="22"/>
          <w:szCs w:val="22"/>
        </w:rPr>
      </w:pPr>
      <w:r w:rsidRPr="00B35F79">
        <w:rPr>
          <w:rFonts w:ascii="Verdana" w:hAnsi="Verdana"/>
          <w:b/>
          <w:bCs/>
          <w:sz w:val="22"/>
          <w:szCs w:val="22"/>
        </w:rPr>
        <w:t>Réponse B (Correcte) :</w:t>
      </w:r>
      <w:r w:rsidRPr="00B35F79">
        <w:rPr>
          <w:rFonts w:ascii="Verdana" w:hAnsi="Verdana"/>
          <w:sz w:val="22"/>
          <w:szCs w:val="22"/>
        </w:rPr>
        <w:t> L'écart global se décompose en écart sur coût (prix) et écart sur quantité. Si l'écart sur quantité est défavorable, cela signifie que la quantité réelle consommée est supérieure à la quantité préétablie pour la production réelle. On a "gaspillé" de la matière.</w:t>
      </w:r>
    </w:p>
    <w:p w14:paraId="50FC3B26" w14:textId="77777777" w:rsidR="00EF520B" w:rsidRPr="00B35F79" w:rsidRDefault="00EF520B" w:rsidP="00EF520B">
      <w:pPr>
        <w:numPr>
          <w:ilvl w:val="0"/>
          <w:numId w:val="15"/>
        </w:numPr>
        <w:jc w:val="left"/>
        <w:rPr>
          <w:rFonts w:ascii="Verdana" w:hAnsi="Verdana"/>
          <w:sz w:val="22"/>
          <w:szCs w:val="22"/>
        </w:rPr>
      </w:pPr>
      <w:r w:rsidRPr="00B35F79">
        <w:rPr>
          <w:rFonts w:ascii="Verdana" w:hAnsi="Verdana"/>
          <w:i/>
          <w:iCs/>
          <w:sz w:val="22"/>
          <w:szCs w:val="22"/>
        </w:rPr>
        <w:t>Pourquoi pas A ?</w:t>
      </w:r>
      <w:r w:rsidRPr="00B35F79">
        <w:rPr>
          <w:rFonts w:ascii="Verdana" w:hAnsi="Verdana"/>
          <w:sz w:val="22"/>
          <w:szCs w:val="22"/>
        </w:rPr>
        <w:t> Cela correspondrait à un écart sur coût (ou prix) défavorable.</w:t>
      </w:r>
    </w:p>
    <w:p w14:paraId="3578261A" w14:textId="77777777" w:rsidR="00EF520B" w:rsidRPr="00B35F79" w:rsidRDefault="00EF520B" w:rsidP="00EF520B">
      <w:pPr>
        <w:jc w:val="left"/>
        <w:rPr>
          <w:rFonts w:ascii="Verdana" w:hAnsi="Verdana"/>
          <w:b/>
          <w:bCs/>
          <w:sz w:val="22"/>
          <w:szCs w:val="22"/>
        </w:rPr>
      </w:pPr>
    </w:p>
    <w:p w14:paraId="7775EFB3" w14:textId="66285CAC"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9 : Réponse B</w:t>
      </w:r>
    </w:p>
    <w:p w14:paraId="1174C564" w14:textId="77777777" w:rsidR="00EF520B" w:rsidRPr="00B35F79" w:rsidRDefault="00EF520B" w:rsidP="00EF520B">
      <w:pPr>
        <w:numPr>
          <w:ilvl w:val="0"/>
          <w:numId w:val="16"/>
        </w:numPr>
        <w:jc w:val="left"/>
        <w:rPr>
          <w:rFonts w:ascii="Verdana" w:hAnsi="Verdana"/>
          <w:sz w:val="22"/>
          <w:szCs w:val="22"/>
        </w:rPr>
      </w:pPr>
      <w:r w:rsidRPr="00B35F79">
        <w:rPr>
          <w:rFonts w:ascii="Verdana" w:hAnsi="Verdana"/>
          <w:b/>
          <w:bCs/>
          <w:sz w:val="22"/>
          <w:szCs w:val="22"/>
        </w:rPr>
        <w:t>Réponse B (Correcte) :</w:t>
      </w:r>
      <w:r w:rsidRPr="00B35F79">
        <w:rPr>
          <w:rFonts w:ascii="Verdana" w:hAnsi="Verdana"/>
          <w:sz w:val="22"/>
          <w:szCs w:val="22"/>
        </w:rPr>
        <w:t> Le budget de trésorerie est un budget de flux financiers (Cash-in / Cash-out). Il tient compte des décalages de paiement (crédit client/fournisseur) et inclut la TVA (TTC), car c'est le montant total qui sort ou rentre en banque.</w:t>
      </w:r>
    </w:p>
    <w:p w14:paraId="47C54B39" w14:textId="77777777" w:rsidR="00EF520B" w:rsidRPr="00B35F79" w:rsidRDefault="00EF520B" w:rsidP="00EF520B">
      <w:pPr>
        <w:numPr>
          <w:ilvl w:val="0"/>
          <w:numId w:val="16"/>
        </w:numPr>
        <w:jc w:val="left"/>
        <w:rPr>
          <w:rFonts w:ascii="Verdana" w:hAnsi="Verdana"/>
          <w:sz w:val="22"/>
          <w:szCs w:val="22"/>
        </w:rPr>
      </w:pPr>
      <w:r w:rsidRPr="00B35F79">
        <w:rPr>
          <w:rFonts w:ascii="Verdana" w:hAnsi="Verdana"/>
          <w:i/>
          <w:iCs/>
          <w:sz w:val="22"/>
          <w:szCs w:val="22"/>
        </w:rPr>
        <w:t>Pourquoi pas A et C ?</w:t>
      </w:r>
      <w:r w:rsidRPr="00B35F79">
        <w:rPr>
          <w:rFonts w:ascii="Verdana" w:hAnsi="Verdana"/>
          <w:sz w:val="22"/>
          <w:szCs w:val="22"/>
        </w:rPr>
        <w:t> Ce sont des logiques de comptabilité générale (créances/dettes et produits/charges).</w:t>
      </w:r>
    </w:p>
    <w:p w14:paraId="66B26DBA" w14:textId="77777777" w:rsidR="00EF520B" w:rsidRPr="00B35F79" w:rsidRDefault="00EF520B" w:rsidP="00EF520B">
      <w:pPr>
        <w:jc w:val="left"/>
        <w:rPr>
          <w:rFonts w:ascii="Verdana" w:hAnsi="Verdana"/>
          <w:b/>
          <w:bCs/>
          <w:sz w:val="22"/>
          <w:szCs w:val="22"/>
        </w:rPr>
      </w:pPr>
    </w:p>
    <w:p w14:paraId="76E39588" w14:textId="33F204E4" w:rsidR="00EF520B" w:rsidRPr="00B35F79" w:rsidRDefault="00EF520B" w:rsidP="00EF520B">
      <w:pPr>
        <w:jc w:val="left"/>
        <w:rPr>
          <w:rFonts w:ascii="Verdana" w:hAnsi="Verdana"/>
          <w:b/>
          <w:bCs/>
          <w:sz w:val="22"/>
          <w:szCs w:val="22"/>
        </w:rPr>
      </w:pPr>
      <w:r w:rsidRPr="00B35F79">
        <w:rPr>
          <w:rFonts w:ascii="Verdana" w:hAnsi="Verdana"/>
          <w:b/>
          <w:bCs/>
          <w:sz w:val="22"/>
          <w:szCs w:val="22"/>
        </w:rPr>
        <w:t>Question 10 : Réponse B</w:t>
      </w:r>
    </w:p>
    <w:p w14:paraId="7252F850" w14:textId="77777777" w:rsidR="00EF520B" w:rsidRPr="00B35F79" w:rsidRDefault="00EF520B" w:rsidP="00EF520B">
      <w:pPr>
        <w:numPr>
          <w:ilvl w:val="0"/>
          <w:numId w:val="17"/>
        </w:numPr>
        <w:jc w:val="left"/>
        <w:rPr>
          <w:rFonts w:ascii="Verdana" w:hAnsi="Verdana"/>
          <w:sz w:val="22"/>
          <w:szCs w:val="22"/>
        </w:rPr>
      </w:pPr>
      <w:r w:rsidRPr="00B35F79">
        <w:rPr>
          <w:rFonts w:ascii="Verdana" w:hAnsi="Verdana"/>
          <w:b/>
          <w:bCs/>
          <w:sz w:val="22"/>
          <w:szCs w:val="22"/>
        </w:rPr>
        <w:t>Réponse B (Correcte) :</w:t>
      </w:r>
      <w:r w:rsidRPr="00B35F79">
        <w:rPr>
          <w:rFonts w:ascii="Verdana" w:hAnsi="Verdana"/>
          <w:sz w:val="22"/>
          <w:szCs w:val="22"/>
        </w:rPr>
        <w:t> La méthode ABC (</w:t>
      </w:r>
      <w:r w:rsidRPr="00B35F79">
        <w:rPr>
          <w:rFonts w:ascii="Verdana" w:hAnsi="Verdana"/>
          <w:i/>
          <w:iCs/>
          <w:sz w:val="22"/>
          <w:szCs w:val="22"/>
        </w:rPr>
        <w:t>Activity Based Costing</w:t>
      </w:r>
      <w:r w:rsidRPr="00B35F79">
        <w:rPr>
          <w:rFonts w:ascii="Verdana" w:hAnsi="Verdana"/>
          <w:sz w:val="22"/>
          <w:szCs w:val="22"/>
        </w:rPr>
        <w:t>) critique la méthode des centres d'analyse car les UO volumiques (heures de main-d'œuvre) ne reflètent plus la complexité moderne. ABC utilise des </w:t>
      </w:r>
      <w:r w:rsidRPr="00B35F79">
        <w:rPr>
          <w:rFonts w:ascii="Verdana" w:hAnsi="Verdana"/>
          <w:b/>
          <w:bCs/>
          <w:sz w:val="22"/>
          <w:szCs w:val="22"/>
        </w:rPr>
        <w:t>inducteurs</w:t>
      </w:r>
      <w:r w:rsidRPr="00B35F79">
        <w:rPr>
          <w:rFonts w:ascii="Verdana" w:hAnsi="Verdana"/>
          <w:sz w:val="22"/>
          <w:szCs w:val="22"/>
        </w:rPr>
        <w:t> (nombre de lots, nombre de réglages, nombre de commandes) qui expliquent mieux la consommation des ressources par les activités.</w:t>
      </w:r>
    </w:p>
    <w:p w14:paraId="23C873CA" w14:textId="4A9C6E35" w:rsidR="00211336" w:rsidRPr="00B35F79" w:rsidRDefault="00211336" w:rsidP="00EF520B">
      <w:pPr>
        <w:jc w:val="left"/>
        <w:rPr>
          <w:rFonts w:ascii="Verdana" w:hAnsi="Verdana"/>
          <w:sz w:val="22"/>
          <w:szCs w:val="22"/>
        </w:rPr>
      </w:pPr>
    </w:p>
    <w:sectPr w:rsidR="00211336" w:rsidRPr="00B35F79">
      <w:headerReference w:type="default" r:id="rId11"/>
      <w:footerReference w:type="default" r:id="rId12"/>
      <w:pgSz w:w="11906" w:h="16838"/>
      <w:pgMar w:top="907" w:right="1134" w:bottom="1134" w:left="1134" w:header="567"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13C2" w14:textId="77777777" w:rsidR="008C6FF2" w:rsidRPr="0003707F" w:rsidRDefault="008C6FF2">
      <w:pPr>
        <w:spacing w:after="0" w:line="240" w:lineRule="auto"/>
      </w:pPr>
      <w:r w:rsidRPr="0003707F">
        <w:separator/>
      </w:r>
    </w:p>
  </w:endnote>
  <w:endnote w:type="continuationSeparator" w:id="0">
    <w:p w14:paraId="44D503FE" w14:textId="77777777" w:rsidR="008C6FF2" w:rsidRPr="0003707F" w:rsidRDefault="008C6FF2">
      <w:pPr>
        <w:spacing w:after="0" w:line="240" w:lineRule="auto"/>
      </w:pPr>
      <w:r w:rsidRPr="000370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A15494B-664D-46D4-8F8F-0DDFE86C02C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Condensed">
    <w:panose1 w:val="02000000000000000000"/>
    <w:charset w:val="00"/>
    <w:family w:val="auto"/>
    <w:pitch w:val="variable"/>
    <w:sig w:usb0="E00002FF" w:usb1="5000205B" w:usb2="00000020" w:usb3="00000000" w:csb0="0000019F" w:csb1="00000000"/>
    <w:embedRegular r:id="rId2" w:fontKey="{89401C3A-CE48-4981-8B9D-05D71D82109D}"/>
    <w:embedBold r:id="rId3" w:fontKey="{6C94257E-23C9-49CB-AF6D-3D4BA8D27989}"/>
    <w:embedItalic r:id="rId4" w:fontKey="{C6E14D78-9C59-4BD2-B1CD-A83F570F0291}"/>
  </w:font>
  <w:font w:name="Roboto Medium">
    <w:charset w:val="00"/>
    <w:family w:val="auto"/>
    <w:pitch w:val="variable"/>
    <w:sig w:usb0="E0000AFF" w:usb1="5000217F" w:usb2="00000021" w:usb3="00000000" w:csb0="0000019F" w:csb1="00000000"/>
    <w:embedRegular r:id="rId5" w:fontKey="{2F01CA12-C088-4876-8312-6F6E47FC82A6}"/>
    <w:embedBold r:id="rId6" w:fontKey="{A38D2C83-1553-4301-A0BB-32A7C9A988F4}"/>
  </w:font>
  <w:font w:name="Times New Roman (Titres CS)">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embedRegular r:id="rId7" w:fontKey="{29A3BA84-A672-4276-AAA8-2E491ACAA7F7}"/>
  </w:font>
  <w:font w:name="Verdana">
    <w:panose1 w:val="020B0604030504040204"/>
    <w:charset w:val="00"/>
    <w:family w:val="swiss"/>
    <w:pitch w:val="variable"/>
    <w:sig w:usb0="A00006FF" w:usb1="4000205B" w:usb2="00000010" w:usb3="00000000" w:csb0="0000019F" w:csb1="00000000"/>
    <w:embedRegular r:id="rId8" w:fontKey="{B780F98F-B059-4FB1-94D9-FD126BD30FE3}"/>
    <w:embedBold r:id="rId9" w:fontKey="{B69F1656-5ABF-421D-A11C-10BDA9895D97}"/>
    <w:embedItalic r:id="rId10" w:fontKey="{6EA9D7D0-2B4C-407C-95F9-14E46AE16A4D}"/>
  </w:font>
  <w:font w:name="Aptos Display">
    <w:charset w:val="00"/>
    <w:family w:val="swiss"/>
    <w:pitch w:val="variable"/>
    <w:sig w:usb0="20000287" w:usb1="00000003" w:usb2="00000000" w:usb3="00000000" w:csb0="0000019F" w:csb1="00000000"/>
    <w:embedRegular r:id="rId11" w:fontKey="{EF4C581A-2D53-485E-BCF0-566441FAF081}"/>
  </w:font>
  <w:font w:name="Aptos">
    <w:charset w:val="00"/>
    <w:family w:val="swiss"/>
    <w:pitch w:val="variable"/>
    <w:sig w:usb0="20000287" w:usb1="00000003" w:usb2="00000000" w:usb3="00000000" w:csb0="0000019F" w:csb1="00000000"/>
    <w:embedRegular r:id="rId12" w:fontKey="{82F15C85-C5F3-4231-9384-9B639D1E9F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DCE1" w14:textId="77777777" w:rsidR="00211336" w:rsidRPr="0003707F" w:rsidRDefault="00000000">
    <w:pPr>
      <w:pBdr>
        <w:top w:val="nil"/>
        <w:left w:val="nil"/>
        <w:bottom w:val="nil"/>
        <w:right w:val="nil"/>
        <w:between w:val="nil"/>
      </w:pBdr>
      <w:tabs>
        <w:tab w:val="center" w:pos="4536"/>
        <w:tab w:val="right" w:pos="9072"/>
        <w:tab w:val="right" w:pos="9638"/>
      </w:tabs>
      <w:rPr>
        <w:color w:val="000000"/>
      </w:rPr>
    </w:pPr>
    <w:r w:rsidRPr="0003707F">
      <w:rPr>
        <w:color w:val="000000"/>
      </w:rPr>
      <w:t>RNCP39608-BC04-FM04</w:t>
    </w:r>
    <w:r w:rsidRPr="0003707F">
      <w:rPr>
        <w:color w:val="000000"/>
      </w:rPr>
      <w:tab/>
      <w:t>2025-2026</w:t>
    </w:r>
    <w:r w:rsidRPr="0003707F">
      <w:rPr>
        <w:color w:val="000000"/>
      </w:rPr>
      <w:tab/>
      <w:t xml:space="preserve">Page </w:t>
    </w:r>
    <w:r w:rsidRPr="0003707F">
      <w:rPr>
        <w:color w:val="000000"/>
      </w:rPr>
      <w:fldChar w:fldCharType="begin"/>
    </w:r>
    <w:r w:rsidRPr="0003707F">
      <w:rPr>
        <w:color w:val="000000"/>
      </w:rPr>
      <w:instrText>PAGE</w:instrText>
    </w:r>
    <w:r w:rsidRPr="0003707F">
      <w:rPr>
        <w:color w:val="000000"/>
      </w:rPr>
      <w:fldChar w:fldCharType="separate"/>
    </w:r>
    <w:r w:rsidR="00722618" w:rsidRPr="0003707F">
      <w:rPr>
        <w:color w:val="000000"/>
      </w:rPr>
      <w:t>1</w:t>
    </w:r>
    <w:r w:rsidRPr="0003707F">
      <w:rPr>
        <w:color w:val="000000"/>
      </w:rPr>
      <w:fldChar w:fldCharType="end"/>
    </w:r>
    <w:r w:rsidRPr="0003707F">
      <w:rPr>
        <w:color w:val="000000"/>
      </w:rPr>
      <w:t xml:space="preserve"> sur </w:t>
    </w:r>
    <w:r w:rsidRPr="0003707F">
      <w:rPr>
        <w:color w:val="000000"/>
      </w:rPr>
      <w:fldChar w:fldCharType="begin"/>
    </w:r>
    <w:r w:rsidRPr="0003707F">
      <w:rPr>
        <w:color w:val="000000"/>
      </w:rPr>
      <w:instrText>NUMPAGES</w:instrText>
    </w:r>
    <w:r w:rsidRPr="0003707F">
      <w:rPr>
        <w:color w:val="000000"/>
      </w:rPr>
      <w:fldChar w:fldCharType="separate"/>
    </w:r>
    <w:r w:rsidR="00722618" w:rsidRPr="0003707F">
      <w:rPr>
        <w:color w:val="000000"/>
      </w:rPr>
      <w:t>2</w:t>
    </w:r>
    <w:r w:rsidRPr="0003707F">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487C" w14:textId="77777777" w:rsidR="008C6FF2" w:rsidRPr="0003707F" w:rsidRDefault="008C6FF2">
      <w:pPr>
        <w:spacing w:after="0" w:line="240" w:lineRule="auto"/>
      </w:pPr>
      <w:r w:rsidRPr="0003707F">
        <w:separator/>
      </w:r>
    </w:p>
  </w:footnote>
  <w:footnote w:type="continuationSeparator" w:id="0">
    <w:p w14:paraId="7AAC3D72" w14:textId="77777777" w:rsidR="008C6FF2" w:rsidRPr="0003707F" w:rsidRDefault="008C6FF2">
      <w:pPr>
        <w:spacing w:after="0" w:line="240" w:lineRule="auto"/>
      </w:pPr>
      <w:r w:rsidRPr="0003707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A31A" w14:textId="77777777" w:rsidR="00211336" w:rsidRPr="0003707F" w:rsidRDefault="00211336">
    <w:pPr>
      <w:widowControl w:val="0"/>
      <w:pBdr>
        <w:top w:val="nil"/>
        <w:left w:val="nil"/>
        <w:bottom w:val="nil"/>
        <w:right w:val="nil"/>
        <w:between w:val="nil"/>
      </w:pBdr>
      <w:spacing w:after="0" w:line="276" w:lineRule="auto"/>
      <w:jc w:val="left"/>
    </w:pPr>
  </w:p>
  <w:tbl>
    <w:tblPr>
      <w:tblStyle w:val="a0"/>
      <w:tblW w:w="9628"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211336" w:rsidRPr="0003707F" w14:paraId="1D51C3EA" w14:textId="77777777">
      <w:tc>
        <w:tcPr>
          <w:tcW w:w="3209" w:type="dxa"/>
          <w:vAlign w:val="center"/>
        </w:tcPr>
        <w:p w14:paraId="4D6DD012" w14:textId="77777777" w:rsidR="00211336" w:rsidRPr="0003707F" w:rsidRDefault="00000000">
          <w:pPr>
            <w:widowControl/>
            <w:pBdr>
              <w:top w:val="nil"/>
              <w:left w:val="nil"/>
              <w:bottom w:val="nil"/>
              <w:right w:val="nil"/>
              <w:between w:val="nil"/>
            </w:pBdr>
            <w:tabs>
              <w:tab w:val="center" w:pos="4536"/>
              <w:tab w:val="right" w:pos="9072"/>
              <w:tab w:val="right" w:pos="9638"/>
            </w:tabs>
            <w:ind w:left="-113"/>
            <w:rPr>
              <w:color w:val="000000"/>
              <w:lang w:val="fr-FR"/>
            </w:rPr>
          </w:pPr>
          <w:r w:rsidRPr="0003707F">
            <w:rPr>
              <w:noProof/>
              <w:color w:val="000000"/>
            </w:rPr>
            <w:drawing>
              <wp:inline distT="0" distB="0" distL="0" distR="0" wp14:anchorId="4468A6E8" wp14:editId="7DD7E706">
                <wp:extent cx="1391285" cy="240030"/>
                <wp:effectExtent l="0" t="0" r="0" b="0"/>
                <wp:docPr id="911116142" name="image1.png" descr="Une image contenant Police, Graphique, capture d’écran, graphism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1.png" descr="Une image contenant Police, Graphique, capture d’écran, graphisme&#10;&#10;Description générée automatiquement"/>
                        <pic:cNvPicPr preferRelativeResize="0"/>
                      </pic:nvPicPr>
                      <pic:blipFill>
                        <a:blip r:embed="rId1"/>
                        <a:srcRect t="34522" b="34660"/>
                        <a:stretch>
                          <a:fillRect/>
                        </a:stretch>
                      </pic:blipFill>
                      <pic:spPr>
                        <a:xfrm>
                          <a:off x="0" y="0"/>
                          <a:ext cx="1391285" cy="240030"/>
                        </a:xfrm>
                        <a:prstGeom prst="rect">
                          <a:avLst/>
                        </a:prstGeom>
                        <a:ln/>
                      </pic:spPr>
                    </pic:pic>
                  </a:graphicData>
                </a:graphic>
              </wp:inline>
            </w:drawing>
          </w:r>
        </w:p>
      </w:tc>
      <w:tc>
        <w:tcPr>
          <w:tcW w:w="3209" w:type="dxa"/>
          <w:vAlign w:val="center"/>
        </w:tcPr>
        <w:p w14:paraId="08D42227" w14:textId="41AB2DCF" w:rsidR="00211336" w:rsidRPr="0003707F" w:rsidRDefault="0003707F">
          <w:pPr>
            <w:widowControl/>
            <w:pBdr>
              <w:top w:val="nil"/>
              <w:left w:val="nil"/>
              <w:bottom w:val="nil"/>
              <w:right w:val="nil"/>
              <w:between w:val="nil"/>
            </w:pBdr>
            <w:tabs>
              <w:tab w:val="center" w:pos="4536"/>
              <w:tab w:val="right" w:pos="9072"/>
              <w:tab w:val="right" w:pos="9638"/>
            </w:tabs>
            <w:jc w:val="center"/>
            <w:rPr>
              <w:color w:val="000000"/>
              <w:lang w:val="fr-FR"/>
            </w:rPr>
          </w:pPr>
          <w:r w:rsidRPr="0003707F">
            <w:rPr>
              <w:color w:val="000000"/>
              <w:lang w:val="fr-FR"/>
            </w:rPr>
            <w:t>Gestion des Coûts et du Budget QCM niv.</w:t>
          </w:r>
          <w:r w:rsidR="00B35F79">
            <w:rPr>
              <w:color w:val="000000"/>
              <w:lang w:val="fr-FR"/>
            </w:rPr>
            <w:t>2</w:t>
          </w:r>
        </w:p>
      </w:tc>
      <w:tc>
        <w:tcPr>
          <w:tcW w:w="3210" w:type="dxa"/>
          <w:vAlign w:val="center"/>
        </w:tcPr>
        <w:p w14:paraId="4D2EF3F4" w14:textId="77777777" w:rsidR="00211336" w:rsidRPr="0003707F" w:rsidRDefault="00000000">
          <w:pPr>
            <w:widowControl/>
            <w:pBdr>
              <w:top w:val="nil"/>
              <w:left w:val="nil"/>
              <w:bottom w:val="nil"/>
              <w:right w:val="nil"/>
              <w:between w:val="nil"/>
            </w:pBdr>
            <w:tabs>
              <w:tab w:val="center" w:pos="4536"/>
              <w:tab w:val="right" w:pos="9072"/>
              <w:tab w:val="right" w:pos="9638"/>
            </w:tabs>
            <w:ind w:left="1273"/>
            <w:jc w:val="right"/>
            <w:rPr>
              <w:color w:val="000000"/>
              <w:lang w:val="fr-FR"/>
            </w:rPr>
          </w:pPr>
          <w:r w:rsidRPr="0003707F">
            <w:rPr>
              <w:color w:val="000000"/>
              <w:lang w:val="fr-FR"/>
            </w:rPr>
            <w:t>RNCP 39608</w:t>
          </w:r>
        </w:p>
      </w:tc>
    </w:tr>
  </w:tbl>
  <w:p w14:paraId="64D5AD8A" w14:textId="77777777" w:rsidR="00211336" w:rsidRPr="0003707F" w:rsidRDefault="002113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DF9"/>
    <w:multiLevelType w:val="multilevel"/>
    <w:tmpl w:val="935A88D2"/>
    <w:lvl w:ilvl="0">
      <w:start w:val="1"/>
      <w:numFmt w:val="bullet"/>
      <w:lvlText w:val="−"/>
      <w:lvlJc w:val="left"/>
      <w:pPr>
        <w:ind w:left="397" w:hanging="283"/>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A3416"/>
    <w:multiLevelType w:val="multilevel"/>
    <w:tmpl w:val="CE96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2396C"/>
    <w:multiLevelType w:val="multilevel"/>
    <w:tmpl w:val="31E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01F7D"/>
    <w:multiLevelType w:val="multilevel"/>
    <w:tmpl w:val="558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3B7F97"/>
    <w:multiLevelType w:val="multilevel"/>
    <w:tmpl w:val="4AD0A4DC"/>
    <w:lvl w:ilvl="0">
      <w:start w:val="1"/>
      <w:numFmt w:val="decimal"/>
      <w:pStyle w:val="listepu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E5845F3"/>
    <w:multiLevelType w:val="multilevel"/>
    <w:tmpl w:val="5A4ED7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1F0B82"/>
    <w:multiLevelType w:val="hybridMultilevel"/>
    <w:tmpl w:val="359644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D460E6A"/>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D8345D"/>
    <w:multiLevelType w:val="multilevel"/>
    <w:tmpl w:val="351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FD5A51"/>
    <w:multiLevelType w:val="multilevel"/>
    <w:tmpl w:val="3A7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75519F"/>
    <w:multiLevelType w:val="multilevel"/>
    <w:tmpl w:val="1B2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885B3E"/>
    <w:multiLevelType w:val="multilevel"/>
    <w:tmpl w:val="387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88068A"/>
    <w:multiLevelType w:val="multilevel"/>
    <w:tmpl w:val="1B0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362667"/>
    <w:multiLevelType w:val="multilevel"/>
    <w:tmpl w:val="0EA4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7764719">
    <w:abstractNumId w:val="0"/>
  </w:num>
  <w:num w:numId="2" w16cid:durableId="469788594">
    <w:abstractNumId w:val="4"/>
  </w:num>
  <w:num w:numId="3" w16cid:durableId="18250073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45560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5389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0385935">
    <w:abstractNumId w:val="6"/>
  </w:num>
  <w:num w:numId="7" w16cid:durableId="926959504">
    <w:abstractNumId w:val="7"/>
  </w:num>
  <w:num w:numId="8" w16cid:durableId="1940409775">
    <w:abstractNumId w:val="8"/>
  </w:num>
  <w:num w:numId="9" w16cid:durableId="430198997">
    <w:abstractNumId w:val="2"/>
  </w:num>
  <w:num w:numId="10" w16cid:durableId="172960157">
    <w:abstractNumId w:val="10"/>
  </w:num>
  <w:num w:numId="11" w16cid:durableId="675035641">
    <w:abstractNumId w:val="5"/>
  </w:num>
  <w:num w:numId="12" w16cid:durableId="38013538">
    <w:abstractNumId w:val="9"/>
  </w:num>
  <w:num w:numId="13" w16cid:durableId="462770968">
    <w:abstractNumId w:val="12"/>
  </w:num>
  <w:num w:numId="14" w16cid:durableId="120653059">
    <w:abstractNumId w:val="1"/>
  </w:num>
  <w:num w:numId="15" w16cid:durableId="929238403">
    <w:abstractNumId w:val="11"/>
  </w:num>
  <w:num w:numId="16" w16cid:durableId="2033023771">
    <w:abstractNumId w:val="13"/>
  </w:num>
  <w:num w:numId="17" w16cid:durableId="1157914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36"/>
    <w:rsid w:val="000138C3"/>
    <w:rsid w:val="0003707F"/>
    <w:rsid w:val="000D6100"/>
    <w:rsid w:val="00197BF4"/>
    <w:rsid w:val="00211336"/>
    <w:rsid w:val="00581CCA"/>
    <w:rsid w:val="005A2DB9"/>
    <w:rsid w:val="005D4A1D"/>
    <w:rsid w:val="0061556E"/>
    <w:rsid w:val="00650C1E"/>
    <w:rsid w:val="00704867"/>
    <w:rsid w:val="00722618"/>
    <w:rsid w:val="007A1D1C"/>
    <w:rsid w:val="007A7D4A"/>
    <w:rsid w:val="00866BD5"/>
    <w:rsid w:val="008C6FF2"/>
    <w:rsid w:val="00B35F79"/>
    <w:rsid w:val="00C1248D"/>
    <w:rsid w:val="00EF520B"/>
    <w:rsid w:val="00F01A51"/>
    <w:rsid w:val="00FC2B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B3CD"/>
  <w15:docId w15:val="{54ADB512-6DF2-477A-9E49-C693D39B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Condensed" w:eastAsia="Roboto Condensed" w:hAnsi="Roboto Condensed" w:cs="Roboto Condensed"/>
        <w:sz w:val="21"/>
        <w:szCs w:val="21"/>
        <w:lang w:val="fr-FR" w:eastAsia="fr-F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46F"/>
    <w:pPr>
      <w:contextualSpacing/>
    </w:pPr>
  </w:style>
  <w:style w:type="paragraph" w:styleId="Titre1">
    <w:name w:val="heading 1"/>
    <w:basedOn w:val="Normal"/>
    <w:next w:val="Normal"/>
    <w:link w:val="Titre1Car"/>
    <w:uiPriority w:val="9"/>
    <w:qFormat/>
    <w:rsid w:val="009256AB"/>
    <w:pPr>
      <w:keepNext/>
      <w:keepLines/>
      <w:spacing w:before="240" w:after="0"/>
      <w:outlineLvl w:val="0"/>
    </w:pPr>
    <w:rPr>
      <w:rFonts w:ascii="Roboto Medium" w:eastAsiaTheme="majorEastAsia" w:hAnsi="Roboto Medium" w:cstheme="majorBidi"/>
      <w:b/>
      <w:sz w:val="22"/>
      <w:szCs w:val="40"/>
    </w:rPr>
  </w:style>
  <w:style w:type="paragraph" w:styleId="Titre2">
    <w:name w:val="heading 2"/>
    <w:basedOn w:val="Normal"/>
    <w:next w:val="Normal"/>
    <w:link w:val="Titre2Car"/>
    <w:uiPriority w:val="9"/>
    <w:unhideWhenUsed/>
    <w:qFormat/>
    <w:rsid w:val="00D3540F"/>
    <w:pPr>
      <w:keepNext/>
      <w:keepLines/>
      <w:spacing w:before="120" w:after="0"/>
      <w:outlineLvl w:val="1"/>
    </w:pPr>
    <w:rPr>
      <w:rFonts w:ascii="Roboto Medium" w:eastAsiaTheme="majorEastAsia" w:hAnsi="Roboto Medium" w:cs="Times New Roman (Titres CS)"/>
      <w:szCs w:val="32"/>
    </w:rPr>
  </w:style>
  <w:style w:type="paragraph" w:styleId="Titre3">
    <w:name w:val="heading 3"/>
    <w:basedOn w:val="Normal"/>
    <w:next w:val="Normal"/>
    <w:link w:val="Titre3Car"/>
    <w:uiPriority w:val="9"/>
    <w:semiHidden/>
    <w:unhideWhenUsed/>
    <w:qFormat/>
    <w:rsid w:val="00C869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69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69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69F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69F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69F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69F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5A5E64"/>
    <w:pPr>
      <w:spacing w:after="80"/>
      <w:jc w:val="center"/>
    </w:pPr>
    <w:rPr>
      <w:rFonts w:ascii="Roboto Medium" w:eastAsiaTheme="majorEastAsia" w:hAnsi="Roboto Medium" w:cstheme="majorBidi"/>
      <w:spacing w:val="-10"/>
      <w:kern w:val="28"/>
      <w:sz w:val="28"/>
      <w:szCs w:val="56"/>
    </w:rPr>
  </w:style>
  <w:style w:type="character" w:customStyle="1" w:styleId="Titre1Car">
    <w:name w:val="Titre 1 Car"/>
    <w:basedOn w:val="Policepardfaut"/>
    <w:link w:val="Titre1"/>
    <w:uiPriority w:val="9"/>
    <w:rsid w:val="009256AB"/>
    <w:rPr>
      <w:rFonts w:ascii="Roboto Medium" w:eastAsiaTheme="majorEastAsia" w:hAnsi="Roboto Medium" w:cstheme="majorBidi"/>
      <w:b/>
      <w:sz w:val="22"/>
      <w:szCs w:val="40"/>
    </w:rPr>
  </w:style>
  <w:style w:type="character" w:customStyle="1" w:styleId="Titre2Car">
    <w:name w:val="Titre 2 Car"/>
    <w:basedOn w:val="Policepardfaut"/>
    <w:link w:val="Titre2"/>
    <w:uiPriority w:val="9"/>
    <w:rsid w:val="00D3540F"/>
    <w:rPr>
      <w:rFonts w:ascii="Roboto Medium" w:eastAsiaTheme="majorEastAsia" w:hAnsi="Roboto Medium" w:cs="Times New Roman (Titres CS)"/>
      <w:sz w:val="21"/>
      <w:szCs w:val="32"/>
    </w:rPr>
  </w:style>
  <w:style w:type="character" w:customStyle="1" w:styleId="Titre3Car">
    <w:name w:val="Titre 3 Car"/>
    <w:basedOn w:val="Policepardfaut"/>
    <w:link w:val="Titre3"/>
    <w:uiPriority w:val="9"/>
    <w:semiHidden/>
    <w:rsid w:val="00C869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69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69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69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69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69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69F6"/>
    <w:rPr>
      <w:rFonts w:eastAsiaTheme="majorEastAsia" w:cstheme="majorBidi"/>
      <w:color w:val="272727" w:themeColor="text1" w:themeTint="D8"/>
    </w:rPr>
  </w:style>
  <w:style w:type="character" w:customStyle="1" w:styleId="TitreCar">
    <w:name w:val="Titre Car"/>
    <w:basedOn w:val="Policepardfaut"/>
    <w:link w:val="Titre"/>
    <w:uiPriority w:val="10"/>
    <w:rsid w:val="005A5E64"/>
    <w:rPr>
      <w:rFonts w:ascii="Roboto Medium" w:eastAsiaTheme="majorEastAsia" w:hAnsi="Roboto Medium" w:cstheme="majorBidi"/>
      <w:spacing w:val="-10"/>
      <w:kern w:val="28"/>
      <w:sz w:val="28"/>
      <w:szCs w:val="56"/>
    </w:rPr>
  </w:style>
  <w:style w:type="paragraph" w:styleId="Sous-titre">
    <w:name w:val="Subtitle"/>
    <w:basedOn w:val="Normal"/>
    <w:next w:val="Normal"/>
    <w:link w:val="Sous-titreCar"/>
    <w:uiPriority w:val="11"/>
    <w:qFormat/>
    <w:pPr>
      <w:spacing w:after="160"/>
    </w:pPr>
    <w:rPr>
      <w:color w:val="595959"/>
      <w:sz w:val="28"/>
      <w:szCs w:val="28"/>
    </w:rPr>
  </w:style>
  <w:style w:type="character" w:customStyle="1" w:styleId="Sous-titreCar">
    <w:name w:val="Sous-titre Car"/>
    <w:basedOn w:val="Policepardfaut"/>
    <w:link w:val="Sous-titre"/>
    <w:uiPriority w:val="11"/>
    <w:rsid w:val="00C869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69F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69F6"/>
    <w:rPr>
      <w:i/>
      <w:iCs/>
      <w:color w:val="404040" w:themeColor="text1" w:themeTint="BF"/>
    </w:rPr>
  </w:style>
  <w:style w:type="paragraph" w:styleId="Paragraphedeliste">
    <w:name w:val="List Paragraph"/>
    <w:basedOn w:val="Normal"/>
    <w:uiPriority w:val="1"/>
    <w:qFormat/>
    <w:rsid w:val="00C869F6"/>
    <w:pPr>
      <w:ind w:left="720"/>
    </w:pPr>
  </w:style>
  <w:style w:type="character" w:styleId="Accentuationintense">
    <w:name w:val="Intense Emphasis"/>
    <w:basedOn w:val="Policepardfaut"/>
    <w:uiPriority w:val="21"/>
    <w:qFormat/>
    <w:rsid w:val="00C869F6"/>
    <w:rPr>
      <w:i/>
      <w:iCs/>
      <w:color w:val="0F4761" w:themeColor="accent1" w:themeShade="BF"/>
    </w:rPr>
  </w:style>
  <w:style w:type="paragraph" w:styleId="Citationintense">
    <w:name w:val="Intense Quote"/>
    <w:basedOn w:val="Normal"/>
    <w:next w:val="Normal"/>
    <w:link w:val="CitationintenseCar"/>
    <w:uiPriority w:val="30"/>
    <w:qFormat/>
    <w:rsid w:val="00C86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69F6"/>
    <w:rPr>
      <w:i/>
      <w:iCs/>
      <w:color w:val="0F4761" w:themeColor="accent1" w:themeShade="BF"/>
    </w:rPr>
  </w:style>
  <w:style w:type="character" w:styleId="Rfrenceintense">
    <w:name w:val="Intense Reference"/>
    <w:basedOn w:val="Policepardfaut"/>
    <w:uiPriority w:val="32"/>
    <w:qFormat/>
    <w:rsid w:val="00C869F6"/>
    <w:rPr>
      <w:b/>
      <w:bCs/>
      <w:smallCaps/>
      <w:color w:val="0F4761" w:themeColor="accent1" w:themeShade="BF"/>
      <w:spacing w:val="5"/>
    </w:rPr>
  </w:style>
  <w:style w:type="paragraph" w:styleId="En-tte">
    <w:name w:val="header"/>
    <w:basedOn w:val="Normal"/>
    <w:link w:val="En-tteCar"/>
    <w:uiPriority w:val="99"/>
    <w:unhideWhenUsed/>
    <w:rsid w:val="00C869F6"/>
    <w:pPr>
      <w:tabs>
        <w:tab w:val="center" w:pos="4536"/>
        <w:tab w:val="right" w:pos="9072"/>
      </w:tabs>
    </w:pPr>
  </w:style>
  <w:style w:type="character" w:customStyle="1" w:styleId="En-tteCar">
    <w:name w:val="En-tête Car"/>
    <w:basedOn w:val="Policepardfaut"/>
    <w:link w:val="En-tte"/>
    <w:uiPriority w:val="99"/>
    <w:rsid w:val="00C869F6"/>
  </w:style>
  <w:style w:type="paragraph" w:styleId="Pieddepage">
    <w:name w:val="footer"/>
    <w:basedOn w:val="Normal"/>
    <w:link w:val="PieddepageCar"/>
    <w:uiPriority w:val="99"/>
    <w:unhideWhenUsed/>
    <w:rsid w:val="00C869F6"/>
    <w:pPr>
      <w:tabs>
        <w:tab w:val="center" w:pos="4536"/>
        <w:tab w:val="right" w:pos="9072"/>
      </w:tabs>
    </w:pPr>
  </w:style>
  <w:style w:type="character" w:customStyle="1" w:styleId="PieddepageCar">
    <w:name w:val="Pied de page Car"/>
    <w:basedOn w:val="Policepardfaut"/>
    <w:link w:val="Pieddepage"/>
    <w:uiPriority w:val="99"/>
    <w:rsid w:val="00C869F6"/>
  </w:style>
  <w:style w:type="table" w:styleId="Grilledutableau">
    <w:name w:val="Table Grid"/>
    <w:basedOn w:val="TableauNormal"/>
    <w:uiPriority w:val="39"/>
    <w:rsid w:val="00141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E5346F"/>
    <w:pPr>
      <w:widowControl w:val="0"/>
      <w:autoSpaceDE w:val="0"/>
      <w:autoSpaceDN w:val="0"/>
      <w:spacing w:after="0" w:line="240" w:lineRule="auto"/>
      <w:ind w:left="415"/>
      <w:contextualSpacing w:val="0"/>
      <w:jc w:val="left"/>
    </w:pPr>
    <w:rPr>
      <w:rFonts w:ascii="Roboto" w:eastAsia="Roboto" w:hAnsi="Roboto" w:cs="Roboto"/>
      <w:sz w:val="22"/>
      <w:szCs w:val="22"/>
    </w:rPr>
  </w:style>
  <w:style w:type="character" w:customStyle="1" w:styleId="CorpsdetexteCar">
    <w:name w:val="Corps de texte Car"/>
    <w:basedOn w:val="Policepardfaut"/>
    <w:link w:val="Corpsdetexte"/>
    <w:uiPriority w:val="1"/>
    <w:rsid w:val="00E5346F"/>
    <w:rPr>
      <w:rFonts w:ascii="Roboto" w:eastAsia="Roboto" w:hAnsi="Roboto" w:cs="Roboto"/>
      <w:kern w:val="0"/>
      <w:sz w:val="22"/>
      <w:szCs w:val="22"/>
    </w:rPr>
  </w:style>
  <w:style w:type="paragraph" w:customStyle="1" w:styleId="listepuces">
    <w:name w:val="liste à puces"/>
    <w:basedOn w:val="Normal"/>
    <w:autoRedefine/>
    <w:qFormat/>
    <w:rsid w:val="00E5346F"/>
    <w:pPr>
      <w:numPr>
        <w:numId w:val="2"/>
      </w:numPr>
      <w:spacing w:after="0"/>
      <w:contextualSpacing w:val="0"/>
    </w:pPr>
  </w:style>
  <w:style w:type="numbering" w:customStyle="1" w:styleId="Listeactuelle1">
    <w:name w:val="Liste actuelle1"/>
    <w:uiPriority w:val="99"/>
    <w:rsid w:val="00E5346F"/>
  </w:style>
  <w:style w:type="numbering" w:customStyle="1" w:styleId="Listeactuelle2">
    <w:name w:val="Liste actuelle2"/>
    <w:uiPriority w:val="99"/>
    <w:rsid w:val="00E5346F"/>
  </w:style>
  <w:style w:type="numbering" w:customStyle="1" w:styleId="Listeactuelle3">
    <w:name w:val="Liste actuelle3"/>
    <w:uiPriority w:val="99"/>
    <w:rsid w:val="00E5346F"/>
  </w:style>
  <w:style w:type="table" w:customStyle="1" w:styleId="TableNormal0">
    <w:name w:val="Table Normal"/>
    <w:uiPriority w:val="2"/>
    <w:semiHidden/>
    <w:unhideWhenUsed/>
    <w:qFormat/>
    <w:rsid w:val="00DD41C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41CF"/>
    <w:pPr>
      <w:widowControl w:val="0"/>
      <w:autoSpaceDE w:val="0"/>
      <w:autoSpaceDN w:val="0"/>
      <w:spacing w:after="0" w:line="240" w:lineRule="auto"/>
      <w:contextualSpacing w:val="0"/>
      <w:jc w:val="left"/>
    </w:pPr>
    <w:rPr>
      <w:rFonts w:ascii="Roboto" w:eastAsia="Roboto" w:hAnsi="Roboto" w:cs="Roboto"/>
      <w:sz w:val="22"/>
      <w:szCs w:val="22"/>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594bf23-d9e0-437e-8f62-ed8fa30843e9" xsi:nil="true"/>
    <lcf76f155ced4ddcb4097134ff3c332f xmlns="64026722-2225-48b3-8179-9d36a684dc69">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aRKmQ7OE8HIjd0UTriOy5KSHg==">CgMxLjA4AHIhMTFoMGRyWFZQVFd1M05fMDJlRXBQeGRMUEZGbkgyQ0E0</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62C7F251E564E40B678D9AD720E81C7" ma:contentTypeVersion="11" ma:contentTypeDescription="Crée un document." ma:contentTypeScope="" ma:versionID="154aaf13594b1929da3314b3e6f9a77a">
  <xsd:schema xmlns:xsd="http://www.w3.org/2001/XMLSchema" xmlns:xs="http://www.w3.org/2001/XMLSchema" xmlns:p="http://schemas.microsoft.com/office/2006/metadata/properties" xmlns:ns2="64026722-2225-48b3-8179-9d36a684dc69" xmlns:ns3="c594bf23-d9e0-437e-8f62-ed8fa30843e9" targetNamespace="http://schemas.microsoft.com/office/2006/metadata/properties" ma:root="true" ma:fieldsID="cdb7f2419f9555beafc4472fa017a2d4" ns2:_="" ns3:_="">
    <xsd:import namespace="64026722-2225-48b3-8179-9d36a684dc69"/>
    <xsd:import namespace="c594bf23-d9e0-437e-8f62-ed8fa30843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26722-2225-48b3-8179-9d36a684d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8264288f-60e8-4338-b88e-2d818f8363d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94bf23-d9e0-437e-8f62-ed8fa30843e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cad7216-a37b-4677-93c8-bb9532c68961}" ma:internalName="TaxCatchAll" ma:showField="CatchAllData" ma:web="c594bf23-d9e0-437e-8f62-ed8fa30843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F19886-4210-425C-A00E-948B5CA66F37}">
  <ds:schemaRefs>
    <ds:schemaRef ds:uri="http://schemas.microsoft.com/sharepoint/v3/contenttype/forms"/>
  </ds:schemaRefs>
</ds:datastoreItem>
</file>

<file path=customXml/itemProps2.xml><?xml version="1.0" encoding="utf-8"?>
<ds:datastoreItem xmlns:ds="http://schemas.openxmlformats.org/officeDocument/2006/customXml" ds:itemID="{796CE6BB-7DEC-4D67-B44E-24C3C82C8F60}">
  <ds:schemaRefs>
    <ds:schemaRef ds:uri="http://schemas.microsoft.com/office/2006/metadata/properties"/>
    <ds:schemaRef ds:uri="http://schemas.microsoft.com/office/infopath/2007/PartnerControls"/>
    <ds:schemaRef ds:uri="c594bf23-d9e0-437e-8f62-ed8fa30843e9"/>
    <ds:schemaRef ds:uri="64026722-2225-48b3-8179-9d36a684dc69"/>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EA63D42-BC61-4550-B4D5-041B94EDF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026722-2225-48b3-8179-9d36a684dc69"/>
    <ds:schemaRef ds:uri="c594bf23-d9e0-437e-8f62-ed8fa30843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1115</Words>
  <Characters>6137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Pegaule Patrice</dc:creator>
  <cp:lastModifiedBy>Remy DURAND</cp:lastModifiedBy>
  <cp:revision>3</cp:revision>
  <dcterms:created xsi:type="dcterms:W3CDTF">2026-02-07T18:30:00Z</dcterms:created>
  <dcterms:modified xsi:type="dcterms:W3CDTF">2026-02-09T06:26:00Z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0x010100362C7F251E564E40B678D9AD720E81C7</vt:lpwstr>
  </property>
</Properties>
</file>