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F9933" w:sz="20"/>
        </w:pBdr>
        <w:spacing w:after="0"/>
      </w:pPr>
    </w:p>
    <w:p>
      <w:pPr>
        <w:spacing w:after="40" w:before="200"/>
      </w:pPr>
      <w:r>
        <w:rPr>
          <w:rFonts w:ascii="Arial" w:cs="Arial" w:eastAsia="Arial" w:hAnsi="Arial"/>
          <w:b/>
          <w:bCs/>
          <w:color w:val="0A0A0A"/>
          <w:sz w:val="52"/>
          <w:szCs w:val="52"/>
        </w:rPr>
        <w:t xml:space="preserve">ROCI ENGINE</w:t>
      </w:r>
    </w:p>
    <w:p>
      <w:pPr>
        <w:spacing w:after="40"/>
      </w:pPr>
      <w:r>
        <w:rPr>
          <w:rFonts w:ascii="Arial" w:cs="Arial" w:eastAsia="Arial" w:hAnsi="Arial"/>
          <w:color w:val="888880"/>
          <w:sz w:val="26"/>
          <w:szCs w:val="26"/>
        </w:rPr>
        <w:t xml:space="preserve">Product Features &amp; Technical Specification</w:t>
      </w:r>
    </w:p>
    <w:p>
      <w:pPr>
        <w:spacing w:after="40"/>
      </w:pPr>
      <w:r>
        <w:rPr>
          <w:rFonts w:ascii="Arial" w:cs="Arial" w:eastAsia="Arial" w:hAnsi="Arial"/>
          <w:b/>
          <w:bCs/>
          <w:color w:val="CC7A29"/>
          <w:sz w:val="20"/>
          <w:szCs w:val="20"/>
        </w:rPr>
        <w:t xml:space="preserve">Philom Tech Pvt. Ltd.</w:t>
      </w:r>
      <w:r>
        <w:rPr>
          <w:rFonts w:ascii="Arial" w:cs="Arial" w:eastAsia="Arial" w:hAnsi="Arial"/>
          <w:color w:val="888880"/>
          <w:sz w:val="20"/>
          <w:szCs w:val="20"/>
        </w:rPr>
        <w:t xml:space="preserve">  ·  Confidential  ·  Not for distribution</w:t>
      </w:r>
    </w:p>
    <w:p>
      <w:pPr>
        <w:spacing w:after="240"/>
      </w:pPr>
    </w:p>
    <w:p>
      <w:pPr>
        <w:pBdr>
          <w:top w:val="single" w:color="D8D4CC" w:sz="2"/>
          <w:bottom w:val="single" w:color="D8D4CC" w:sz="2"/>
          <w:left w:val="single" w:color="FF9933" w:sz="12"/>
          <w:right w:val="single" w:color="D8D4CC" w:sz="2"/>
        </w:pBdr>
        <w:shd w:fill="FFF5E6" w:val="clear"/>
        <w:spacing w:after="100"/>
      </w:pPr>
      <w:r>
        <w:rPr>
          <w:rFonts w:ascii="Arial" w:cs="Arial" w:eastAsia="Arial" w:hAnsi="Arial"/>
          <w:b/>
          <w:bCs/>
          <w:color w:val="0A0A0A"/>
          <w:sz w:val="20"/>
          <w:szCs w:val="20"/>
        </w:rPr>
        <w:t xml:space="preserve">What it is: </w:t>
      </w:r>
      <w:r>
        <w:rPr>
          <w:rFonts w:ascii="Arial" w:cs="Arial" w:eastAsia="Arial" w:hAnsi="Arial"/>
          <w:color w:val="333333"/>
          <w:sz w:val="20"/>
          <w:szCs w:val="20"/>
        </w:rPr>
        <w:t xml:space="preserve">ROCI Engine is a land parcel intelligence platform that takes two inputs — coordinates and land size — and outputs a composite investment score derived entirely from live government data sources. Designed for pan-India deployment.</w:t>
      </w:r>
    </w:p>
    <w:p>
      <w:pPr>
        <w:spacing w:after="60"/>
      </w:pPr>
    </w:p>
    <w:p>
      <w:pPr>
        <w:spacing w:after="60"/>
      </w:pPr>
      <w:r>
        <w:rPr>
          <w:rFonts w:ascii="Arial" w:cs="Arial" w:eastAsia="Arial" w:hAnsi="Arial"/>
          <w:b/>
          <w:bCs/>
          <w:color w:val="0A0A0A"/>
          <w:sz w:val="20"/>
          <w:szCs w:val="20"/>
        </w:rPr>
        <w:t xml:space="preserve">Core formula:  </w:t>
      </w:r>
      <w:r>
        <w:rPr>
          <w:rFonts w:ascii="Courier New" w:cs="Courier New" w:eastAsia="Courier New" w:hAnsi="Courier New"/>
          <w:b/>
          <w:bCs/>
          <w:color w:val="CC7A29"/>
          <w:sz w:val="22"/>
          <w:szCs w:val="22"/>
        </w:rPr>
        <w:t xml:space="preserve">ROCI = X · (a + b + c)</w:t>
      </w:r>
    </w:p>
    <w:p>
      <w:pPr>
        <w:spacing w:after="20"/>
      </w:pPr>
      <w:r>
        <w:rPr>
          <w:rFonts w:ascii="Arial" w:cs="Arial" w:eastAsia="Arial" w:hAnsi="Arial"/>
          <w:color w:val="444444"/>
          <w:sz w:val="19"/>
          <w:szCs w:val="19"/>
        </w:rPr>
        <w:t xml:space="preserve">X  =  FAR multiplier (subject parcel FAR ÷ standard FAR of micro-market)</w:t>
      </w:r>
    </w:p>
    <w:p>
      <w:pPr>
        <w:spacing w:after="20"/>
      </w:pPr>
      <w:r>
        <w:rPr>
          <w:rFonts w:ascii="Arial" w:cs="Arial" w:eastAsia="Arial" w:hAnsi="Arial"/>
          <w:color w:val="444444"/>
          <w:sz w:val="19"/>
          <w:szCs w:val="19"/>
        </w:rPr>
        <w:t xml:space="preserve">a  =  CLU (Change of Land Use) status  —  50% weight</w:t>
      </w:r>
    </w:p>
    <w:p>
      <w:pPr>
        <w:spacing w:after="20"/>
      </w:pPr>
      <w:r>
        <w:rPr>
          <w:rFonts w:ascii="Arial" w:cs="Arial" w:eastAsia="Arial" w:hAnsi="Arial"/>
          <w:color w:val="444444"/>
          <w:sz w:val="19"/>
          <w:szCs w:val="19"/>
        </w:rPr>
        <w:t xml:space="preserve">b  =  Registry velocity of surrounding area  —  33% weight</w:t>
      </w:r>
    </w:p>
    <w:p>
      <w:pPr>
        <w:spacing w:after="20"/>
      </w:pPr>
      <w:r>
        <w:rPr>
          <w:rFonts w:ascii="Arial" w:cs="Arial" w:eastAsia="Arial" w:hAnsi="Arial"/>
          <w:color w:val="444444"/>
          <w:sz w:val="19"/>
          <w:szCs w:val="19"/>
        </w:rPr>
        <w:t xml:space="preserve">c  =  Infrastructure / tender movement in 3km radius  —  17% weight</w:t>
      </w:r>
    </w:p>
    <w:p>
      <w:pPr>
        <w:spacing w:after="280"/>
      </w:pPr>
    </w:p>
    <w:p>
      <w:pPr>
        <w:pBdr>
          <w:bottom w:val="single" w:color="FF9933" w:sz="8" w:space="4"/>
        </w:pBdr>
        <w:spacing w:after="60" w:before="280"/>
      </w:pPr>
      <w:r>
        <w:rPr>
          <w:rFonts w:ascii="Syne" w:cs="Syne" w:eastAsia="Syne" w:hAnsi="Syne"/>
          <w:b/>
          <w:bCs/>
          <w:caps/>
          <w:color w:val="0A0A0A"/>
          <w:sz w:val="24"/>
          <w:szCs w:val="24"/>
        </w:rPr>
        <w:t xml:space="preserve">01 — Inputs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560"/>
        <w:gridCol w:w="8800"/>
      </w:tblGrid>
      <w:tr>
        <w:tc>
          <w:tcPr>
            <w:tcW w:type="dxa" w:w="560"/>
            <w:tcBorders>
              <w:top w:val="none" w:color="FFFFFF" w:sz="0"/>
              <w:left w:val="none" w:color="FFFFFF" w:sz="0"/>
              <w:bottom w:val="none" w:color="FFFFFF" w:sz="0"/>
              <w:right w:val="none" w:color="FFFFFF" w:sz="0"/>
            </w:tcBorders>
            <w:shd w:fill="FFF5E6" w:val="clear"/>
            <w:tcMar>
              <w:top w:type="dxa" w:w="80"/>
              <w:left w:type="dxa" w:w="80"/>
              <w:bottom w:type="dxa" w:w="80"/>
              <w:right w:type="dxa" w:w="80"/>
            </w:tcMar>
            <w:vAlign w:val="top"/>
          </w:tcPr>
          <w:p>
            <w:pPr>
              <w:jc w:val="center"/>
            </w:pPr>
            <w:r>
              <w:rPr>
                <w:rFonts w:ascii="Arial" w:cs="Arial" w:eastAsia="Arial" w:hAnsi="Arial"/>
                <w:sz w:val="28"/>
                <w:szCs w:val="28"/>
              </w:rPr>
              <w:t xml:space="preserve">⌖</w:t>
            </w:r>
          </w:p>
        </w:tc>
        <w:tc>
          <w:tcPr>
            <w:tcW w:type="dxa" w:w="8800"/>
            <w:tcBorders>
              <w:top w:val="none" w:color="FFFFFF" w:sz="0"/>
              <w:left w:val="single" w:color="FF9933" w:sz="6"/>
              <w:bottom w:val="none" w:color="FFFFFF" w:sz="0"/>
              <w:right w:val="none" w:color="FFFFFF" w:sz="0"/>
            </w:tcBorders>
            <w:shd w:fill="FFF5E6" w:val="clear"/>
            <w:tcMar>
              <w:top w:type="dxa" w:w="80"/>
              <w:left w:type="dxa" w:w="160"/>
              <w:bottom w:type="dxa" w:w="80"/>
              <w:right w:type="dxa" w:w="120"/>
            </w:tcMar>
          </w:tcPr>
          <w:p>
            <w:pPr>
              <w:spacing w:after="30"/>
            </w:pPr>
            <w:r>
              <w:rPr>
                <w:rFonts w:ascii="Arial" w:cs="Arial" w:eastAsia="Arial" w:hAnsi="Arial"/>
                <w:b/>
                <w:bCs/>
                <w:color w:val="CC7A29"/>
                <w:sz w:val="20"/>
                <w:szCs w:val="20"/>
              </w:rPr>
              <w:t xml:space="preserve">Geographic coordinates</w:t>
            </w:r>
          </w:p>
          <w:p>
            <w:pPr>
              <w:spacing w:after="0"/>
            </w:pPr>
            <w:r>
              <w:rPr>
                <w:rFonts w:ascii="Arial" w:cs="Arial" w:eastAsia="Arial" w:hAnsi="Arial"/>
                <w:color w:val="555555"/>
                <w:sz w:val="18"/>
                <w:szCs w:val="18"/>
              </w:rPr>
              <w:t xml:space="preserve">Accepts lat/lng in any standard format — decimal degrees, DMS, or Google Maps pin drop. Resolves to district, tehsil, village, and road via Nominatim reverse geocoding.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560"/>
        <w:gridCol w:w="8800"/>
      </w:tblGrid>
      <w:tr>
        <w:tc>
          <w:tcPr>
            <w:tcW w:type="dxa" w:w="56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vAlign w:val="top"/>
          </w:tcPr>
          <w:p>
            <w:pPr>
              <w:jc w:val="center"/>
            </w:pPr>
            <w:r>
              <w:rPr>
                <w:rFonts w:ascii="Arial" w:cs="Arial" w:eastAsia="Arial" w:hAnsi="Arial"/>
                <w:sz w:val="28"/>
                <w:szCs w:val="28"/>
              </w:rPr>
              <w:t xml:space="preserve">⊡</w:t>
            </w:r>
          </w:p>
        </w:tc>
        <w:tc>
          <w:tcPr>
            <w:tcW w:type="dxa" w:w="8800"/>
            <w:tcBorders>
              <w:top w:val="none" w:color="FFFFFF" w:sz="0"/>
              <w:left w:val="single" w:color="D8D4CC" w:sz="6"/>
              <w:bottom w:val="none" w:color="FFFFFF" w:sz="0"/>
              <w:right w:val="none" w:color="FFFFFF" w:sz="0"/>
            </w:tcBorders>
            <w:shd w:fill="FFFFFF" w:val="clear"/>
            <w:tcMar>
              <w:top w:type="dxa" w:w="80"/>
              <w:left w:type="dxa" w:w="160"/>
              <w:bottom w:type="dxa" w:w="80"/>
              <w:right w:type="dxa" w:w="120"/>
            </w:tcMar>
          </w:tcPr>
          <w:p>
            <w:pPr>
              <w:spacing w:after="30"/>
            </w:pPr>
            <w:r>
              <w:rPr>
                <w:rFonts w:ascii="Arial" w:cs="Arial" w:eastAsia="Arial" w:hAnsi="Arial"/>
                <w:b/>
                <w:bCs/>
                <w:color w:val="0A0A0A"/>
                <w:sz w:val="20"/>
                <w:szCs w:val="20"/>
              </w:rPr>
              <w:t xml:space="preserve">Land size</w:t>
            </w:r>
          </w:p>
          <w:p>
            <w:pPr>
              <w:spacing w:after="0"/>
            </w:pPr>
            <w:r>
              <w:rPr>
                <w:rFonts w:ascii="Arial" w:cs="Arial" w:eastAsia="Arial" w:hAnsi="Arial"/>
                <w:color w:val="555555"/>
                <w:sz w:val="18"/>
                <w:szCs w:val="18"/>
              </w:rPr>
              <w:t xml:space="preserve">Entered in acres. All downstream calculations (land value, score normalisation) are size-aware. Supports decimal inputs down to 0.01 acres.</w:t>
            </w:r>
          </w:p>
        </w:tc>
      </w:tr>
    </w:tbl>
    <w:p>
      <w:pPr>
        <w:spacing w:after="240"/>
      </w:pPr>
    </w:p>
    <w:p>
      <w:pPr>
        <w:pBdr>
          <w:bottom w:val="single" w:color="FF9933" w:sz="8" w:space="4"/>
        </w:pBdr>
        <w:spacing w:after="60" w:before="280"/>
      </w:pPr>
      <w:r>
        <w:rPr>
          <w:rFonts w:ascii="Syne" w:cs="Syne" w:eastAsia="Syne" w:hAnsi="Syne"/>
          <w:b/>
          <w:bCs/>
          <w:caps/>
          <w:color w:val="0A0A0A"/>
          <w:sz w:val="24"/>
          <w:szCs w:val="24"/>
        </w:rPr>
        <w:t xml:space="preserve">02 — Automatic Data Resolution</w:t>
      </w:r>
    </w:p>
    <w:p>
      <w:pPr>
        <w:spacing w:after="80"/>
      </w:pPr>
    </w:p>
    <w:p>
      <w:pPr>
        <w:spacing w:after="100"/>
      </w:pPr>
      <w:r>
        <w:rPr>
          <w:rFonts w:ascii="Arial" w:cs="Arial" w:eastAsia="Arial" w:hAnsi="Arial"/>
          <w:i/>
          <w:iCs/>
          <w:color w:val="888880"/>
          <w:sz w:val="18"/>
          <w:szCs w:val="18"/>
        </w:rPr>
        <w:t xml:space="preserve">All variables below are resolved automatically from government sources. No manual input required beyond coordinates and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2200"/>
        <w:gridCol w:w="7160"/>
      </w:tblGrid>
      <w:tr>
        <w:tc>
          <w:tcPr>
            <w:tcW w:type="dxa" w:w="2200"/>
            <w:tcBorders>
              <w:top w:val="single" w:color="D8D4CC" w:sz="2"/>
              <w:left w:val="single" w:color="D8D4CC" w:sz="2"/>
              <w:bottom w:val="single" w:color="D8D4CC" w:sz="2"/>
              <w:right w:val="single" w:color="D8D4CC" w:sz="2"/>
            </w:tcBorders>
            <w:shd w:fill="F7F4EF" w:val="clear"/>
            <w:tcMar>
              <w:top w:type="dxa" w:w="70"/>
              <w:left w:type="dxa" w:w="120"/>
              <w:bottom w:type="dxa" w:w="70"/>
              <w:right w:type="dxa" w:w="80"/>
            </w:tcMar>
          </w:tcPr>
          <w:p>
            <w:r>
              <w:rPr>
                <w:rFonts w:ascii="Arial" w:cs="Arial" w:eastAsia="Arial" w:hAnsi="Arial"/>
                <w:b/>
                <w:bCs/>
                <w:color w:val="0A0A0A"/>
                <w:sz w:val="18"/>
                <w:szCs w:val="18"/>
              </w:rPr>
              <w:t xml:space="preserve">CLU Status (a)</w:t>
            </w:r>
          </w:p>
        </w:tc>
        <w:tc>
          <w:tcPr>
            <w:tcW w:type="dxa" w:w="7160"/>
            <w:tcBorders>
              <w:top w:val="single" w:color="D8D4CC" w:sz="2"/>
              <w:left w:val="single" w:color="D8D4CC" w:sz="2"/>
              <w:bottom w:val="single" w:color="D8D4CC" w:sz="2"/>
              <w:right w:val="single" w:color="D8D4CC" w:sz="2"/>
            </w:tcBorders>
            <w:shd w:fill="F7F4EF" w:val="clear"/>
            <w:tcMar>
              <w:top w:type="dxa" w:w="70"/>
              <w:left w:type="dxa" w:w="120"/>
              <w:bottom w:type="dxa" w:w="70"/>
              <w:right w:type="dxa" w:w="120"/>
            </w:tcMar>
          </w:tcPr>
          <w:p>
            <w:r>
              <w:rPr>
                <w:rFonts w:ascii="Arial" w:cs="Arial" w:eastAsia="Arial" w:hAnsi="Arial"/>
                <w:color w:val="555555"/>
                <w:sz w:val="18"/>
                <w:szCs w:val="18"/>
              </w:rPr>
              <w:t xml:space="preserve">Queries RERA state portals, municipal authority databases, and tehsil land records to return current Change of Land Use status for the parcel. Scored: Approved commercial = 100 · Pending = 40–70 · Agricultural = 10–30 · Disputed = 0.</w:t>
            </w:r>
          </w:p>
        </w:tc>
      </w:tr>
      <w:tr>
        <w:tc>
          <w:tcPr>
            <w:tcW w:type="dxa" w:w="2200"/>
            <w:tcBorders>
              <w:top w:val="single" w:color="D8D4CC" w:sz="2"/>
              <w:left w:val="single" w:color="D8D4CC" w:sz="2"/>
              <w:bottom w:val="single" w:color="D8D4CC" w:sz="2"/>
              <w:right w:val="single" w:color="D8D4CC" w:sz="2"/>
            </w:tcBorders>
            <w:shd w:fill="FFFFFF" w:val="clear"/>
            <w:tcMar>
              <w:top w:type="dxa" w:w="70"/>
              <w:left w:type="dxa" w:w="120"/>
              <w:bottom w:type="dxa" w:w="70"/>
              <w:right w:type="dxa" w:w="80"/>
            </w:tcMar>
          </w:tcPr>
          <w:p>
            <w:r>
              <w:rPr>
                <w:rFonts w:ascii="Arial" w:cs="Arial" w:eastAsia="Arial" w:hAnsi="Arial"/>
                <w:b/>
                <w:bCs/>
                <w:color w:val="0A0A0A"/>
                <w:sz w:val="18"/>
                <w:szCs w:val="18"/>
              </w:rPr>
              <w:t xml:space="preserve">Registry Velocity (b)</w:t>
            </w:r>
          </w:p>
        </w:tc>
        <w:tc>
          <w:tcPr>
            <w:tcW w:type="dxa" w:w="7160"/>
            <w:tcBorders>
              <w:top w:val="single" w:color="D8D4CC" w:sz="2"/>
              <w:left w:val="single" w:color="D8D4CC" w:sz="2"/>
              <w:bottom w:val="single" w:color="D8D4CC" w:sz="2"/>
              <w:right w:val="single" w:color="D8D4CC" w:sz="2"/>
            </w:tcBorders>
            <w:shd w:fill="FFFFFF" w:val="clear"/>
            <w:tcMar>
              <w:top w:type="dxa" w:w="70"/>
              <w:left w:type="dxa" w:w="120"/>
              <w:bottom w:type="dxa" w:w="70"/>
              <w:right w:type="dxa" w:w="120"/>
            </w:tcMar>
          </w:tcPr>
          <w:p>
            <w:r>
              <w:rPr>
                <w:rFonts w:ascii="Arial" w:cs="Arial" w:eastAsia="Arial" w:hAnsi="Arial"/>
                <w:color w:val="555555"/>
                <w:sz w:val="18"/>
                <w:szCs w:val="18"/>
              </w:rPr>
              <w:t xml:space="preserve">Pulls registered land sale deed transaction counts from state Stamp &amp; Registration portals (e.g. IGRSUP for Uttar Pradesh, IGR Maharashtra for Maharashtra) for the surrounding tehsil over a trailing 12-month window.</w:t>
            </w:r>
          </w:p>
        </w:tc>
      </w:tr>
      <w:tr>
        <w:tc>
          <w:tcPr>
            <w:tcW w:type="dxa" w:w="2200"/>
            <w:tcBorders>
              <w:top w:val="single" w:color="D8D4CC" w:sz="2"/>
              <w:left w:val="single" w:color="D8D4CC" w:sz="2"/>
              <w:bottom w:val="single" w:color="D8D4CC" w:sz="2"/>
              <w:right w:val="single" w:color="D8D4CC" w:sz="2"/>
            </w:tcBorders>
            <w:shd w:fill="F7F4EF" w:val="clear"/>
            <w:tcMar>
              <w:top w:type="dxa" w:w="70"/>
              <w:left w:type="dxa" w:w="120"/>
              <w:bottom w:type="dxa" w:w="70"/>
              <w:right w:type="dxa" w:w="80"/>
            </w:tcMar>
          </w:tcPr>
          <w:p>
            <w:r>
              <w:rPr>
                <w:rFonts w:ascii="Arial" w:cs="Arial" w:eastAsia="Arial" w:hAnsi="Arial"/>
                <w:b/>
                <w:bCs/>
                <w:color w:val="0A0A0A"/>
                <w:sz w:val="18"/>
                <w:szCs w:val="18"/>
              </w:rPr>
              <w:t xml:space="preserve">Tender / Infra Movement (c)</w:t>
            </w:r>
          </w:p>
        </w:tc>
        <w:tc>
          <w:tcPr>
            <w:tcW w:type="dxa" w:w="7160"/>
            <w:tcBorders>
              <w:top w:val="single" w:color="D8D4CC" w:sz="2"/>
              <w:left w:val="single" w:color="D8D4CC" w:sz="2"/>
              <w:bottom w:val="single" w:color="D8D4CC" w:sz="2"/>
              <w:right w:val="single" w:color="D8D4CC" w:sz="2"/>
            </w:tcBorders>
            <w:shd w:fill="F7F4EF" w:val="clear"/>
            <w:tcMar>
              <w:top w:type="dxa" w:w="70"/>
              <w:left w:type="dxa" w:w="120"/>
              <w:bottom w:type="dxa" w:w="70"/>
              <w:right w:type="dxa" w:w="120"/>
            </w:tcMar>
          </w:tcPr>
          <w:p>
            <w:r>
              <w:rPr>
                <w:rFonts w:ascii="Arial" w:cs="Arial" w:eastAsia="Arial" w:hAnsi="Arial"/>
                <w:color w:val="555555"/>
                <w:sz w:val="18"/>
                <w:szCs w:val="18"/>
              </w:rPr>
              <w:t xml:space="preserve">Queries CPPP (etenders.gov.in) and GeM (gem.gov.in) for active public infrastructure tenders within a 3km radius of the input coordinates. Returns total value in ₹ crore.</w:t>
            </w:r>
          </w:p>
        </w:tc>
      </w:tr>
      <w:tr>
        <w:tc>
          <w:tcPr>
            <w:tcW w:type="dxa" w:w="2200"/>
            <w:tcBorders>
              <w:top w:val="single" w:color="D8D4CC" w:sz="2"/>
              <w:left w:val="single" w:color="D8D4CC" w:sz="2"/>
              <w:bottom w:val="single" w:color="D8D4CC" w:sz="2"/>
              <w:right w:val="single" w:color="D8D4CC" w:sz="2"/>
            </w:tcBorders>
            <w:shd w:fill="FFFFFF" w:val="clear"/>
            <w:tcMar>
              <w:top w:type="dxa" w:w="70"/>
              <w:left w:type="dxa" w:w="120"/>
              <w:bottom w:type="dxa" w:w="70"/>
              <w:right w:type="dxa" w:w="80"/>
            </w:tcMar>
          </w:tcPr>
          <w:p>
            <w:r>
              <w:rPr>
                <w:rFonts w:ascii="Arial" w:cs="Arial" w:eastAsia="Arial" w:hAnsi="Arial"/>
                <w:b/>
                <w:bCs/>
                <w:color w:val="0A0A0A"/>
                <w:sz w:val="18"/>
                <w:szCs w:val="18"/>
              </w:rPr>
              <w:t xml:space="preserve">FAR Multiplier (X)</w:t>
            </w:r>
          </w:p>
        </w:tc>
        <w:tc>
          <w:tcPr>
            <w:tcW w:type="dxa" w:w="7160"/>
            <w:tcBorders>
              <w:top w:val="single" w:color="D8D4CC" w:sz="2"/>
              <w:left w:val="single" w:color="D8D4CC" w:sz="2"/>
              <w:bottom w:val="single" w:color="D8D4CC" w:sz="2"/>
              <w:right w:val="single" w:color="D8D4CC" w:sz="2"/>
            </w:tcBorders>
            <w:shd w:fill="FFFFFF" w:val="clear"/>
            <w:tcMar>
              <w:top w:type="dxa" w:w="70"/>
              <w:left w:type="dxa" w:w="120"/>
              <w:bottom w:type="dxa" w:w="70"/>
              <w:right w:type="dxa" w:w="120"/>
            </w:tcMar>
          </w:tcPr>
          <w:p>
            <w:r>
              <w:rPr>
                <w:rFonts w:ascii="Arial" w:cs="Arial" w:eastAsia="Arial" w:hAnsi="Arial"/>
                <w:color w:val="555555"/>
                <w:sz w:val="18"/>
                <w:szCs w:val="18"/>
              </w:rPr>
              <w:t xml:space="preserve">Looks up Floor Area Ratio (FAR) for the subject parcel from the relevant development authority master plan (ADA, KDA, LDA, BDA, etc). Computes differential against the standard FAR of comparable parcels in the same zone.</w:t>
            </w:r>
          </w:p>
        </w:tc>
      </w:tr>
      <w:tr>
        <w:tc>
          <w:tcPr>
            <w:tcW w:type="dxa" w:w="2200"/>
            <w:tcBorders>
              <w:top w:val="single" w:color="D8D4CC" w:sz="2"/>
              <w:left w:val="single" w:color="D8D4CC" w:sz="2"/>
              <w:bottom w:val="single" w:color="D8D4CC" w:sz="2"/>
              <w:right w:val="single" w:color="D8D4CC" w:sz="2"/>
            </w:tcBorders>
            <w:shd w:fill="F7F4EF" w:val="clear"/>
            <w:tcMar>
              <w:top w:type="dxa" w:w="70"/>
              <w:left w:type="dxa" w:w="120"/>
              <w:bottom w:type="dxa" w:w="70"/>
              <w:right w:type="dxa" w:w="80"/>
            </w:tcMar>
          </w:tcPr>
          <w:p>
            <w:r>
              <w:rPr>
                <w:rFonts w:ascii="Arial" w:cs="Arial" w:eastAsia="Arial" w:hAnsi="Arial"/>
                <w:b/>
                <w:bCs/>
                <w:color w:val="0A0A0A"/>
                <w:sz w:val="18"/>
                <w:szCs w:val="18"/>
              </w:rPr>
              <w:t xml:space="preserve">Circle Rate</w:t>
            </w:r>
          </w:p>
        </w:tc>
        <w:tc>
          <w:tcPr>
            <w:tcW w:type="dxa" w:w="7160"/>
            <w:tcBorders>
              <w:top w:val="single" w:color="D8D4CC" w:sz="2"/>
              <w:left w:val="single" w:color="D8D4CC" w:sz="2"/>
              <w:bottom w:val="single" w:color="D8D4CC" w:sz="2"/>
              <w:right w:val="single" w:color="D8D4CC" w:sz="2"/>
            </w:tcBorders>
            <w:shd w:fill="F7F4EF" w:val="clear"/>
            <w:tcMar>
              <w:top w:type="dxa" w:w="70"/>
              <w:left w:type="dxa" w:w="120"/>
              <w:bottom w:type="dxa" w:w="70"/>
              <w:right w:type="dxa" w:w="120"/>
            </w:tcMar>
          </w:tcPr>
          <w:p>
            <w:r>
              <w:rPr>
                <w:rFonts w:ascii="Arial" w:cs="Arial" w:eastAsia="Arial" w:hAnsi="Arial"/>
                <w:color w:val="555555"/>
                <w:sz w:val="18"/>
                <w:szCs w:val="18"/>
              </w:rPr>
              <w:t xml:space="preserve">Fetches the government-notified minimum land valuation rate (₹ crore/acre) from the state's Mulyankan Soochi / circle rate list for the identified district and tehsil.</w:t>
            </w:r>
          </w:p>
        </w:tc>
      </w:tr>
      <w:tr>
        <w:tc>
          <w:tcPr>
            <w:tcW w:type="dxa" w:w="2200"/>
            <w:tcBorders>
              <w:top w:val="single" w:color="D8D4CC" w:sz="2"/>
              <w:left w:val="single" w:color="D8D4CC" w:sz="2"/>
              <w:bottom w:val="single" w:color="D8D4CC" w:sz="2"/>
              <w:right w:val="single" w:color="D8D4CC" w:sz="2"/>
            </w:tcBorders>
            <w:shd w:fill="FFFFFF" w:val="clear"/>
            <w:tcMar>
              <w:top w:type="dxa" w:w="70"/>
              <w:left w:type="dxa" w:w="120"/>
              <w:bottom w:type="dxa" w:w="70"/>
              <w:right w:type="dxa" w:w="80"/>
            </w:tcMar>
          </w:tcPr>
          <w:p>
            <w:r>
              <w:rPr>
                <w:rFonts w:ascii="Arial" w:cs="Arial" w:eastAsia="Arial" w:hAnsi="Arial"/>
                <w:b/>
                <w:bCs/>
                <w:color w:val="0A0A0A"/>
                <w:sz w:val="18"/>
                <w:szCs w:val="18"/>
              </w:rPr>
              <w:t xml:space="preserve">Zoning Classification</w:t>
            </w:r>
          </w:p>
        </w:tc>
        <w:tc>
          <w:tcPr>
            <w:tcW w:type="dxa" w:w="7160"/>
            <w:tcBorders>
              <w:top w:val="single" w:color="D8D4CC" w:sz="2"/>
              <w:left w:val="single" w:color="D8D4CC" w:sz="2"/>
              <w:bottom w:val="single" w:color="D8D4CC" w:sz="2"/>
              <w:right w:val="single" w:color="D8D4CC" w:sz="2"/>
            </w:tcBorders>
            <w:shd w:fill="FFFFFF" w:val="clear"/>
            <w:tcMar>
              <w:top w:type="dxa" w:w="70"/>
              <w:left w:type="dxa" w:w="120"/>
              <w:bottom w:type="dxa" w:w="70"/>
              <w:right w:type="dxa" w:w="120"/>
            </w:tcMar>
          </w:tcPr>
          <w:p>
            <w:r>
              <w:rPr>
                <w:rFonts w:ascii="Arial" w:cs="Arial" w:eastAsia="Arial" w:hAnsi="Arial"/>
                <w:color w:val="555555"/>
                <w:sz w:val="18"/>
                <w:szCs w:val="18"/>
              </w:rPr>
              <w:t xml:space="preserve">Resolves the parcel's land use designation (commercial, mixed-use, residential, agricultural, industrial, hospitality) from the local authority master plan.</w:t>
            </w:r>
          </w:p>
        </w:tc>
      </w:tr>
      <w:tr>
        <w:tc>
          <w:tcPr>
            <w:tcW w:type="dxa" w:w="2200"/>
            <w:tcBorders>
              <w:top w:val="single" w:color="D8D4CC" w:sz="2"/>
              <w:left w:val="single" w:color="D8D4CC" w:sz="2"/>
              <w:bottom w:val="single" w:color="D8D4CC" w:sz="2"/>
              <w:right w:val="single" w:color="D8D4CC" w:sz="2"/>
            </w:tcBorders>
            <w:shd w:fill="F7F4EF" w:val="clear"/>
            <w:tcMar>
              <w:top w:type="dxa" w:w="70"/>
              <w:left w:type="dxa" w:w="120"/>
              <w:bottom w:type="dxa" w:w="70"/>
              <w:right w:type="dxa" w:w="80"/>
            </w:tcMar>
          </w:tcPr>
          <w:p>
            <w:r>
              <w:rPr>
                <w:rFonts w:ascii="Arial" w:cs="Arial" w:eastAsia="Arial" w:hAnsi="Arial"/>
                <w:b/>
                <w:bCs/>
                <w:color w:val="0A0A0A"/>
                <w:sz w:val="18"/>
                <w:szCs w:val="18"/>
              </w:rPr>
              <w:t xml:space="preserve">Road Width</w:t>
            </w:r>
          </w:p>
        </w:tc>
        <w:tc>
          <w:tcPr>
            <w:tcW w:type="dxa" w:w="7160"/>
            <w:tcBorders>
              <w:top w:val="single" w:color="D8D4CC" w:sz="2"/>
              <w:left w:val="single" w:color="D8D4CC" w:sz="2"/>
              <w:bottom w:val="single" w:color="D8D4CC" w:sz="2"/>
              <w:right w:val="single" w:color="D8D4CC" w:sz="2"/>
            </w:tcBorders>
            <w:shd w:fill="F7F4EF" w:val="clear"/>
            <w:tcMar>
              <w:top w:type="dxa" w:w="70"/>
              <w:left w:type="dxa" w:w="120"/>
              <w:bottom w:type="dxa" w:w="70"/>
              <w:right w:type="dxa" w:w="120"/>
            </w:tcMar>
          </w:tcPr>
          <w:p>
            <w:r>
              <w:rPr>
                <w:rFonts w:ascii="Arial" w:cs="Arial" w:eastAsia="Arial" w:hAnsi="Arial"/>
                <w:color w:val="555555"/>
                <w:sz w:val="18"/>
                <w:szCs w:val="18"/>
              </w:rPr>
              <w:t xml:space="preserve">Pulls the fronting road width from ADA/KDA/local authority masterplan data or OpenStreetMap highway classification.</w:t>
            </w:r>
          </w:p>
        </w:tc>
      </w:tr>
      <w:tr>
        <w:tc>
          <w:tcPr>
            <w:tcW w:type="dxa" w:w="2200"/>
            <w:tcBorders>
              <w:top w:val="single" w:color="D8D4CC" w:sz="2"/>
              <w:left w:val="single" w:color="D8D4CC" w:sz="2"/>
              <w:bottom w:val="single" w:color="D8D4CC" w:sz="2"/>
              <w:right w:val="single" w:color="D8D4CC" w:sz="2"/>
            </w:tcBorders>
            <w:shd w:fill="FFFFFF" w:val="clear"/>
            <w:tcMar>
              <w:top w:type="dxa" w:w="70"/>
              <w:left w:type="dxa" w:w="120"/>
              <w:bottom w:type="dxa" w:w="70"/>
              <w:right w:type="dxa" w:w="80"/>
            </w:tcMar>
          </w:tcPr>
          <w:p>
            <w:r>
              <w:rPr>
                <w:rFonts w:ascii="Arial" w:cs="Arial" w:eastAsia="Arial" w:hAnsi="Arial"/>
                <w:b/>
                <w:bCs/>
                <w:color w:val="0A0A0A"/>
                <w:sz w:val="18"/>
                <w:szCs w:val="18"/>
              </w:rPr>
              <w:t xml:space="preserve">Land Value</w:t>
            </w:r>
          </w:p>
        </w:tc>
        <w:tc>
          <w:tcPr>
            <w:tcW w:type="dxa" w:w="7160"/>
            <w:tcBorders>
              <w:top w:val="single" w:color="D8D4CC" w:sz="2"/>
              <w:left w:val="single" w:color="D8D4CC" w:sz="2"/>
              <w:bottom w:val="single" w:color="D8D4CC" w:sz="2"/>
              <w:right w:val="single" w:color="D8D4CC" w:sz="2"/>
            </w:tcBorders>
            <w:shd w:fill="FFFFFF" w:val="clear"/>
            <w:tcMar>
              <w:top w:type="dxa" w:w="70"/>
              <w:left w:type="dxa" w:w="120"/>
              <w:bottom w:type="dxa" w:w="70"/>
              <w:right w:type="dxa" w:w="120"/>
            </w:tcMar>
          </w:tcPr>
          <w:p>
            <w:r>
              <w:rPr>
                <w:rFonts w:ascii="Arial" w:cs="Arial" w:eastAsia="Arial" w:hAnsi="Arial"/>
                <w:color w:val="555555"/>
                <w:sz w:val="18"/>
                <w:szCs w:val="18"/>
              </w:rPr>
              <w:t xml:space="preserve">Computed automatically: Circle Rate × Land Size in Acres = Indicative land value at government floor rate.</w:t>
            </w:r>
          </w:p>
        </w:tc>
      </w:tr>
    </w:tbl>
    <w:p>
      <w:pPr>
        <w:spacing w:after="240"/>
      </w:pPr>
    </w:p>
    <w:p>
      <w:pPr>
        <w:pBdr>
          <w:bottom w:val="single" w:color="FF9933" w:sz="8" w:space="4"/>
        </w:pBdr>
        <w:spacing w:after="60" w:before="280"/>
      </w:pPr>
      <w:r>
        <w:rPr>
          <w:rFonts w:ascii="Syne" w:cs="Syne" w:eastAsia="Syne" w:hAnsi="Syne"/>
          <w:b/>
          <w:bCs/>
          <w:caps/>
          <w:color w:val="0A0A0A"/>
          <w:sz w:val="24"/>
          <w:szCs w:val="24"/>
        </w:rPr>
        <w:t xml:space="preserve">03 — Scoring Engine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560"/>
        <w:gridCol w:w="8800"/>
      </w:tblGrid>
      <w:tr>
        <w:tc>
          <w:tcPr>
            <w:tcW w:type="dxa" w:w="560"/>
            <w:tcBorders>
              <w:top w:val="none" w:color="FFFFFF" w:sz="0"/>
              <w:left w:val="none" w:color="FFFFFF" w:sz="0"/>
              <w:bottom w:val="none" w:color="FFFFFF" w:sz="0"/>
              <w:right w:val="none" w:color="FFFFFF" w:sz="0"/>
            </w:tcBorders>
            <w:shd w:fill="FFF5E6" w:val="clear"/>
            <w:tcMar>
              <w:top w:type="dxa" w:w="80"/>
              <w:left w:type="dxa" w:w="80"/>
              <w:bottom w:type="dxa" w:w="80"/>
              <w:right w:type="dxa" w:w="80"/>
            </w:tcMar>
            <w:vAlign w:val="top"/>
          </w:tcPr>
          <w:p>
            <w:pPr>
              <w:jc w:val="center"/>
            </w:pPr>
            <w:r>
              <w:rPr>
                <w:rFonts w:ascii="Arial" w:cs="Arial" w:eastAsia="Arial" w:hAnsi="Arial"/>
                <w:sz w:val="28"/>
                <w:szCs w:val="28"/>
              </w:rPr>
              <w:t xml:space="preserve">⊕</w:t>
            </w:r>
          </w:p>
        </w:tc>
        <w:tc>
          <w:tcPr>
            <w:tcW w:type="dxa" w:w="8800"/>
            <w:tcBorders>
              <w:top w:val="none" w:color="FFFFFF" w:sz="0"/>
              <w:left w:val="single" w:color="FF9933" w:sz="6"/>
              <w:bottom w:val="none" w:color="FFFFFF" w:sz="0"/>
              <w:right w:val="none" w:color="FFFFFF" w:sz="0"/>
            </w:tcBorders>
            <w:shd w:fill="FFF5E6" w:val="clear"/>
            <w:tcMar>
              <w:top w:type="dxa" w:w="80"/>
              <w:left w:type="dxa" w:w="160"/>
              <w:bottom w:type="dxa" w:w="80"/>
              <w:right w:type="dxa" w:w="120"/>
            </w:tcMar>
          </w:tcPr>
          <w:p>
            <w:pPr>
              <w:spacing w:after="30"/>
            </w:pPr>
            <w:r>
              <w:rPr>
                <w:rFonts w:ascii="Arial" w:cs="Arial" w:eastAsia="Arial" w:hAnsi="Arial"/>
                <w:b/>
                <w:bCs/>
                <w:color w:val="CC7A29"/>
                <w:sz w:val="20"/>
                <w:szCs w:val="20"/>
              </w:rPr>
              <w:t xml:space="preserve">Composite ROCI score</w:t>
            </w:r>
          </w:p>
          <w:p>
            <w:pPr>
              <w:spacing w:after="0"/>
            </w:pPr>
            <w:r>
              <w:rPr>
                <w:rFonts w:ascii="Arial" w:cs="Arial" w:eastAsia="Arial" w:hAnsi="Arial"/>
                <w:color w:val="555555"/>
                <w:sz w:val="18"/>
                <w:szCs w:val="18"/>
              </w:rPr>
              <w:t xml:space="preserve">Outputs a single score using ROCI = X · (a + b + c). Score range is 0 to ~1,500+ depending on FAR advantage. Calibrated so ROCI ≥ 150 = investment-ready threshold for BWG pipeline.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560"/>
        <w:gridCol w:w="8800"/>
      </w:tblGrid>
      <w:tr>
        <w:tc>
          <w:tcPr>
            <w:tcW w:type="dxa" w:w="56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vAlign w:val="top"/>
          </w:tcPr>
          <w:p>
            <w:pPr>
              <w:jc w:val="center"/>
            </w:pPr>
            <w:r>
              <w:rPr>
                <w:rFonts w:ascii="Arial" w:cs="Arial" w:eastAsia="Arial" w:hAnsi="Arial"/>
                <w:sz w:val="28"/>
                <w:szCs w:val="28"/>
              </w:rPr>
              <w:t xml:space="preserve">▣</w:t>
            </w:r>
          </w:p>
        </w:tc>
        <w:tc>
          <w:tcPr>
            <w:tcW w:type="dxa" w:w="8800"/>
            <w:tcBorders>
              <w:top w:val="none" w:color="FFFFFF" w:sz="0"/>
              <w:left w:val="single" w:color="D8D4CC" w:sz="6"/>
              <w:bottom w:val="none" w:color="FFFFFF" w:sz="0"/>
              <w:right w:val="none" w:color="FFFFFF" w:sz="0"/>
            </w:tcBorders>
            <w:shd w:fill="FFFFFF" w:val="clear"/>
            <w:tcMar>
              <w:top w:type="dxa" w:w="80"/>
              <w:left w:type="dxa" w:w="160"/>
              <w:bottom w:type="dxa" w:w="80"/>
              <w:right w:type="dxa" w:w="120"/>
            </w:tcMar>
          </w:tcPr>
          <w:p>
            <w:pPr>
              <w:spacing w:after="30"/>
            </w:pPr>
            <w:r>
              <w:rPr>
                <w:rFonts w:ascii="Arial" w:cs="Arial" w:eastAsia="Arial" w:hAnsi="Arial"/>
                <w:b/>
                <w:bCs/>
                <w:color w:val="0A0A0A"/>
                <w:sz w:val="20"/>
                <w:szCs w:val="20"/>
              </w:rPr>
              <w:t xml:space="preserve">Sub-index breakdown</w:t>
            </w:r>
          </w:p>
          <w:p>
            <w:pPr>
              <w:spacing w:after="0"/>
            </w:pPr>
            <w:r>
              <w:rPr>
                <w:rFonts w:ascii="Arial" w:cs="Arial" w:eastAsia="Arial" w:hAnsi="Arial"/>
                <w:color w:val="555555"/>
                <w:sz w:val="18"/>
                <w:szCs w:val="18"/>
              </w:rPr>
              <w:t xml:space="preserve">Displays individual scores for each variable — CLU status, registry velocity, and infra movement — so the user can see exactly which signal is driving or dragging the score.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560"/>
        <w:gridCol w:w="8800"/>
      </w:tblGrid>
      <w:tr>
        <w:tc>
          <w:tcPr>
            <w:tcW w:type="dxa" w:w="56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vAlign w:val="top"/>
          </w:tcPr>
          <w:p>
            <w:pPr>
              <w:jc w:val="center"/>
            </w:pPr>
            <w:r>
              <w:rPr>
                <w:rFonts w:ascii="Arial" w:cs="Arial" w:eastAsia="Arial" w:hAnsi="Arial"/>
                <w:sz w:val="28"/>
                <w:szCs w:val="28"/>
              </w:rPr>
              <w:t xml:space="preserve">◈</w:t>
            </w:r>
          </w:p>
        </w:tc>
        <w:tc>
          <w:tcPr>
            <w:tcW w:type="dxa" w:w="8800"/>
            <w:tcBorders>
              <w:top w:val="none" w:color="FFFFFF" w:sz="0"/>
              <w:left w:val="single" w:color="D8D4CC" w:sz="6"/>
              <w:bottom w:val="none" w:color="FFFFFF" w:sz="0"/>
              <w:right w:val="none" w:color="FFFFFF" w:sz="0"/>
            </w:tcBorders>
            <w:shd w:fill="FFFFFF" w:val="clear"/>
            <w:tcMar>
              <w:top w:type="dxa" w:w="80"/>
              <w:left w:type="dxa" w:w="160"/>
              <w:bottom w:type="dxa" w:w="80"/>
              <w:right w:type="dxa" w:w="120"/>
            </w:tcMar>
          </w:tcPr>
          <w:p>
            <w:pPr>
              <w:spacing w:after="30"/>
            </w:pPr>
            <w:r>
              <w:rPr>
                <w:rFonts w:ascii="Arial" w:cs="Arial" w:eastAsia="Arial" w:hAnsi="Arial"/>
                <w:b/>
                <w:bCs/>
                <w:color w:val="0A0A0A"/>
                <w:sz w:val="20"/>
                <w:szCs w:val="20"/>
              </w:rPr>
              <w:t xml:space="preserve">FAR multiplier display</w:t>
            </w:r>
          </w:p>
          <w:p>
            <w:pPr>
              <w:spacing w:after="0"/>
            </w:pPr>
            <w:r>
              <w:rPr>
                <w:rFonts w:ascii="Arial" w:cs="Arial" w:eastAsia="Arial" w:hAnsi="Arial"/>
                <w:color w:val="555555"/>
                <w:sz w:val="18"/>
                <w:szCs w:val="18"/>
              </w:rPr>
              <w:t xml:space="preserve">Shows the computed X value prominently — subject FAR vs standard FAR — so the development headroom advantage is immediately legible.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560"/>
        <w:gridCol w:w="8800"/>
      </w:tblGrid>
      <w:tr>
        <w:tc>
          <w:tcPr>
            <w:tcW w:type="dxa" w:w="56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vAlign w:val="top"/>
          </w:tcPr>
          <w:p>
            <w:pPr>
              <w:jc w:val="center"/>
            </w:pPr>
            <w:r>
              <w:rPr>
                <w:rFonts w:ascii="Arial" w:cs="Arial" w:eastAsia="Arial" w:hAnsi="Arial"/>
                <w:sz w:val="28"/>
                <w:szCs w:val="28"/>
              </w:rPr>
              <w:t xml:space="preserve">⊞</w:t>
            </w:r>
          </w:p>
        </w:tc>
        <w:tc>
          <w:tcPr>
            <w:tcW w:type="dxa" w:w="8800"/>
            <w:tcBorders>
              <w:top w:val="none" w:color="FFFFFF" w:sz="0"/>
              <w:left w:val="single" w:color="D8D4CC" w:sz="6"/>
              <w:bottom w:val="none" w:color="FFFFFF" w:sz="0"/>
              <w:right w:val="none" w:color="FFFFFF" w:sz="0"/>
            </w:tcBorders>
            <w:shd w:fill="FFFFFF" w:val="clear"/>
            <w:tcMar>
              <w:top w:type="dxa" w:w="80"/>
              <w:left w:type="dxa" w:w="160"/>
              <w:bottom w:type="dxa" w:w="80"/>
              <w:right w:type="dxa" w:w="120"/>
            </w:tcMar>
          </w:tcPr>
          <w:p>
            <w:pPr>
              <w:spacing w:after="30"/>
            </w:pPr>
            <w:r>
              <w:rPr>
                <w:rFonts w:ascii="Arial" w:cs="Arial" w:eastAsia="Arial" w:hAnsi="Arial"/>
                <w:b/>
                <w:bCs/>
                <w:color w:val="0A0A0A"/>
                <w:sz w:val="20"/>
                <w:szCs w:val="20"/>
              </w:rPr>
              <w:t xml:space="preserve">Land value at circle rate</w:t>
            </w:r>
          </w:p>
          <w:p>
            <w:pPr>
              <w:spacing w:after="0"/>
            </w:pPr>
            <w:r>
              <w:rPr>
                <w:rFonts w:ascii="Arial" w:cs="Arial" w:eastAsia="Arial" w:hAnsi="Arial"/>
                <w:color w:val="555555"/>
                <w:sz w:val="18"/>
                <w:szCs w:val="18"/>
              </w:rPr>
              <w:t xml:space="preserve">Displays the government-floor value of the parcel (circle rate × acres) alongside the score, giving an anchor for deal structuring.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560"/>
        <w:gridCol w:w="8800"/>
      </w:tblGrid>
      <w:tr>
        <w:tc>
          <w:tcPr>
            <w:tcW w:type="dxa" w:w="560"/>
            <w:tcBorders>
              <w:top w:val="none" w:color="FFFFFF" w:sz="0"/>
              <w:left w:val="none" w:color="FFFFFF" w:sz="0"/>
              <w:bottom w:val="none" w:color="FFFFFF" w:sz="0"/>
              <w:right w:val="none" w:color="FFFFFF" w:sz="0"/>
            </w:tcBorders>
            <w:shd w:fill="FFF5E6" w:val="clear"/>
            <w:tcMar>
              <w:top w:type="dxa" w:w="80"/>
              <w:left w:type="dxa" w:w="80"/>
              <w:bottom w:type="dxa" w:w="80"/>
              <w:right w:type="dxa" w:w="80"/>
            </w:tcMar>
            <w:vAlign w:val="top"/>
          </w:tcPr>
          <w:p>
            <w:pPr>
              <w:jc w:val="center"/>
            </w:pPr>
            <w:r>
              <w:rPr>
                <w:rFonts w:ascii="Arial" w:cs="Arial" w:eastAsia="Arial" w:hAnsi="Arial"/>
                <w:sz w:val="28"/>
                <w:szCs w:val="28"/>
              </w:rPr>
              <w:t xml:space="preserve">⚑</w:t>
            </w:r>
          </w:p>
        </w:tc>
        <w:tc>
          <w:tcPr>
            <w:tcW w:type="dxa" w:w="8800"/>
            <w:tcBorders>
              <w:top w:val="none" w:color="FFFFFF" w:sz="0"/>
              <w:left w:val="single" w:color="FF9933" w:sz="6"/>
              <w:bottom w:val="none" w:color="FFFFFF" w:sz="0"/>
              <w:right w:val="none" w:color="FFFFFF" w:sz="0"/>
            </w:tcBorders>
            <w:shd w:fill="FFF5E6" w:val="clear"/>
            <w:tcMar>
              <w:top w:type="dxa" w:w="80"/>
              <w:left w:type="dxa" w:w="160"/>
              <w:bottom w:type="dxa" w:w="80"/>
              <w:right w:type="dxa" w:w="120"/>
            </w:tcMar>
          </w:tcPr>
          <w:p>
            <w:pPr>
              <w:spacing w:after="30"/>
            </w:pPr>
            <w:r>
              <w:rPr>
                <w:rFonts w:ascii="Arial" w:cs="Arial" w:eastAsia="Arial" w:hAnsi="Arial"/>
                <w:b/>
                <w:bCs/>
                <w:color w:val="CC7A29"/>
                <w:sz w:val="20"/>
                <w:szCs w:val="20"/>
              </w:rPr>
              <w:t xml:space="preserve">Risk flags</w:t>
            </w:r>
          </w:p>
          <w:p>
            <w:pPr>
              <w:spacing w:after="0"/>
            </w:pPr>
            <w:r>
              <w:rPr>
                <w:rFonts w:ascii="Arial" w:cs="Arial" w:eastAsia="Arial" w:hAnsi="Arial"/>
                <w:color w:val="555555"/>
                <w:sz w:val="18"/>
                <w:szCs w:val="18"/>
              </w:rPr>
              <w:t xml:space="preserve">Automatically surfaces warnings when any variable is weak or missing: no CLU approval, low registry velocity, minimal infra investment, agricultural zoning without conversion, missing data.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560"/>
        <w:gridCol w:w="8800"/>
      </w:tblGrid>
      <w:tr>
        <w:tc>
          <w:tcPr>
            <w:tcW w:type="dxa" w:w="56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vAlign w:val="top"/>
          </w:tcPr>
          <w:p>
            <w:pPr>
              <w:jc w:val="center"/>
            </w:pPr>
            <w:r>
              <w:rPr>
                <w:rFonts w:ascii="Arial" w:cs="Arial" w:eastAsia="Arial" w:hAnsi="Arial"/>
                <w:sz w:val="28"/>
                <w:szCs w:val="28"/>
              </w:rPr>
              <w:t xml:space="preserve">→</w:t>
            </w:r>
          </w:p>
        </w:tc>
        <w:tc>
          <w:tcPr>
            <w:tcW w:type="dxa" w:w="8800"/>
            <w:tcBorders>
              <w:top w:val="none" w:color="FFFFFF" w:sz="0"/>
              <w:left w:val="single" w:color="D8D4CC" w:sz="6"/>
              <w:bottom w:val="none" w:color="FFFFFF" w:sz="0"/>
              <w:right w:val="none" w:color="FFFFFF" w:sz="0"/>
            </w:tcBorders>
            <w:shd w:fill="FFFFFF" w:val="clear"/>
            <w:tcMar>
              <w:top w:type="dxa" w:w="80"/>
              <w:left w:type="dxa" w:w="160"/>
              <w:bottom w:type="dxa" w:w="80"/>
              <w:right w:type="dxa" w:w="120"/>
            </w:tcMar>
          </w:tcPr>
          <w:p>
            <w:pPr>
              <w:spacing w:after="30"/>
            </w:pPr>
            <w:r>
              <w:rPr>
                <w:rFonts w:ascii="Arial" w:cs="Arial" w:eastAsia="Arial" w:hAnsi="Arial"/>
                <w:b/>
                <w:bCs/>
                <w:color w:val="0A0A0A"/>
                <w:sz w:val="20"/>
                <w:szCs w:val="20"/>
              </w:rPr>
              <w:t xml:space="preserve">Investment signal</w:t>
            </w:r>
          </w:p>
          <w:p>
            <w:pPr>
              <w:spacing w:after="0"/>
            </w:pPr>
            <w:r>
              <w:rPr>
                <w:rFonts w:ascii="Arial" w:cs="Arial" w:eastAsia="Arial" w:hAnsi="Arial"/>
                <w:color w:val="555555"/>
                <w:sz w:val="18"/>
                <w:szCs w:val="18"/>
              </w:rPr>
              <w:t xml:space="preserve">Plain-language recommendation: Strong / Good / Moderate / Weak signal — with a one-line instruction (e.g. 'Suitable for deal origination' or 'Watch for infrastructure triggers').</w:t>
            </w:r>
          </w:p>
        </w:tc>
      </w:tr>
    </w:tbl>
    <w:p>
      <w:pPr>
        <w:spacing w:after="240"/>
      </w:pPr>
    </w:p>
    <w:p>
      <w:pPr>
        <w:pBdr>
          <w:bottom w:val="single" w:color="FF9933" w:sz="8" w:space="4"/>
        </w:pBdr>
        <w:spacing w:after="60" w:before="280"/>
      </w:pPr>
      <w:r>
        <w:rPr>
          <w:rFonts w:ascii="Syne" w:cs="Syne" w:eastAsia="Syne" w:hAnsi="Syne"/>
          <w:b/>
          <w:bCs/>
          <w:caps/>
          <w:color w:val="0A0A0A"/>
          <w:sz w:val="24"/>
          <w:szCs w:val="24"/>
        </w:rPr>
        <w:t xml:space="preserve">04 — Data Sources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2200"/>
        <w:gridCol w:w="7160"/>
      </w:tblGrid>
      <w:tr>
        <w:tc>
          <w:tcPr>
            <w:tcW w:type="dxa" w:w="2200"/>
            <w:tcBorders>
              <w:top w:val="single" w:color="D8D4CC" w:sz="2"/>
              <w:left w:val="single" w:color="D8D4CC" w:sz="2"/>
              <w:bottom w:val="single" w:color="D8D4CC" w:sz="2"/>
              <w:right w:val="single" w:color="D8D4CC" w:sz="2"/>
            </w:tcBorders>
            <w:shd w:fill="F7F4EF" w:val="clear"/>
            <w:tcMar>
              <w:top w:type="dxa" w:w="70"/>
              <w:left w:type="dxa" w:w="120"/>
              <w:bottom w:type="dxa" w:w="70"/>
              <w:right w:type="dxa" w:w="80"/>
            </w:tcMar>
          </w:tcPr>
          <w:p>
            <w:r>
              <w:rPr>
                <w:rFonts w:ascii="Arial" w:cs="Arial" w:eastAsia="Arial" w:hAnsi="Arial"/>
                <w:b/>
                <w:bCs/>
                <w:color w:val="0A0A0A"/>
                <w:sz w:val="18"/>
                <w:szCs w:val="18"/>
              </w:rPr>
              <w:t xml:space="preserve">IGRSUP / State Stamp Portals</w:t>
            </w:r>
          </w:p>
        </w:tc>
        <w:tc>
          <w:tcPr>
            <w:tcW w:type="dxa" w:w="7160"/>
            <w:tcBorders>
              <w:top w:val="single" w:color="D8D4CC" w:sz="2"/>
              <w:left w:val="single" w:color="D8D4CC" w:sz="2"/>
              <w:bottom w:val="single" w:color="D8D4CC" w:sz="2"/>
              <w:right w:val="single" w:color="D8D4CC" w:sz="2"/>
            </w:tcBorders>
            <w:shd w:fill="F7F4EF" w:val="clear"/>
            <w:tcMar>
              <w:top w:type="dxa" w:w="70"/>
              <w:left w:type="dxa" w:w="120"/>
              <w:bottom w:type="dxa" w:w="70"/>
              <w:right w:type="dxa" w:w="120"/>
            </w:tcMar>
          </w:tcPr>
          <w:p>
            <w:r>
              <w:rPr>
                <w:rFonts w:ascii="Arial" w:cs="Arial" w:eastAsia="Arial" w:hAnsi="Arial"/>
                <w:color w:val="555555"/>
                <w:sz w:val="18"/>
                <w:szCs w:val="18"/>
              </w:rPr>
              <w:t xml:space="preserve">Registry velocity (registered sale deed counts) and circle rates. Pan-India: IGRSUP (UP), IGR Maharashtra, Kaveri (Karnataka), IGRS AP (Andhra Pradesh), and equivalents across all states.</w:t>
            </w:r>
          </w:p>
        </w:tc>
      </w:tr>
      <w:tr>
        <w:tc>
          <w:tcPr>
            <w:tcW w:type="dxa" w:w="2200"/>
            <w:tcBorders>
              <w:top w:val="single" w:color="D8D4CC" w:sz="2"/>
              <w:left w:val="single" w:color="D8D4CC" w:sz="2"/>
              <w:bottom w:val="single" w:color="D8D4CC" w:sz="2"/>
              <w:right w:val="single" w:color="D8D4CC" w:sz="2"/>
            </w:tcBorders>
            <w:shd w:fill="FFFFFF" w:val="clear"/>
            <w:tcMar>
              <w:top w:type="dxa" w:w="70"/>
              <w:left w:type="dxa" w:w="120"/>
              <w:bottom w:type="dxa" w:w="70"/>
              <w:right w:type="dxa" w:w="80"/>
            </w:tcMar>
          </w:tcPr>
          <w:p>
            <w:r>
              <w:rPr>
                <w:rFonts w:ascii="Arial" w:cs="Arial" w:eastAsia="Arial" w:hAnsi="Arial"/>
                <w:b/>
                <w:bCs/>
                <w:color w:val="0A0A0A"/>
                <w:sz w:val="18"/>
                <w:szCs w:val="18"/>
              </w:rPr>
              <w:t xml:space="preserve">CPPP (etenders.gov.in)</w:t>
            </w:r>
          </w:p>
        </w:tc>
        <w:tc>
          <w:tcPr>
            <w:tcW w:type="dxa" w:w="7160"/>
            <w:tcBorders>
              <w:top w:val="single" w:color="D8D4CC" w:sz="2"/>
              <w:left w:val="single" w:color="D8D4CC" w:sz="2"/>
              <w:bottom w:val="single" w:color="D8D4CC" w:sz="2"/>
              <w:right w:val="single" w:color="D8D4CC" w:sz="2"/>
            </w:tcBorders>
            <w:shd w:fill="FFFFFF" w:val="clear"/>
            <w:tcMar>
              <w:top w:type="dxa" w:w="70"/>
              <w:left w:type="dxa" w:w="120"/>
              <w:bottom w:type="dxa" w:w="70"/>
              <w:right w:type="dxa" w:w="120"/>
            </w:tcMar>
          </w:tcPr>
          <w:p>
            <w:r>
              <w:rPr>
                <w:rFonts w:ascii="Arial" w:cs="Arial" w:eastAsia="Arial" w:hAnsi="Arial"/>
                <w:color w:val="555555"/>
                <w:sz w:val="18"/>
                <w:szCs w:val="18"/>
              </w:rPr>
              <w:t xml:space="preserve">Active public infrastructure tenders by district and value. Covers central and state government procurement.</w:t>
            </w:r>
          </w:p>
        </w:tc>
      </w:tr>
      <w:tr>
        <w:tc>
          <w:tcPr>
            <w:tcW w:type="dxa" w:w="2200"/>
            <w:tcBorders>
              <w:top w:val="single" w:color="D8D4CC" w:sz="2"/>
              <w:left w:val="single" w:color="D8D4CC" w:sz="2"/>
              <w:bottom w:val="single" w:color="D8D4CC" w:sz="2"/>
              <w:right w:val="single" w:color="D8D4CC" w:sz="2"/>
            </w:tcBorders>
            <w:shd w:fill="F7F4EF" w:val="clear"/>
            <w:tcMar>
              <w:top w:type="dxa" w:w="70"/>
              <w:left w:type="dxa" w:w="120"/>
              <w:bottom w:type="dxa" w:w="70"/>
              <w:right w:type="dxa" w:w="80"/>
            </w:tcMar>
          </w:tcPr>
          <w:p>
            <w:r>
              <w:rPr>
                <w:rFonts w:ascii="Arial" w:cs="Arial" w:eastAsia="Arial" w:hAnsi="Arial"/>
                <w:b/>
                <w:bCs/>
                <w:color w:val="0A0A0A"/>
                <w:sz w:val="18"/>
                <w:szCs w:val="18"/>
              </w:rPr>
              <w:t xml:space="preserve">GeM (gem.gov.in)</w:t>
            </w:r>
          </w:p>
        </w:tc>
        <w:tc>
          <w:tcPr>
            <w:tcW w:type="dxa" w:w="7160"/>
            <w:tcBorders>
              <w:top w:val="single" w:color="D8D4CC" w:sz="2"/>
              <w:left w:val="single" w:color="D8D4CC" w:sz="2"/>
              <w:bottom w:val="single" w:color="D8D4CC" w:sz="2"/>
              <w:right w:val="single" w:color="D8D4CC" w:sz="2"/>
            </w:tcBorders>
            <w:shd w:fill="F7F4EF" w:val="clear"/>
            <w:tcMar>
              <w:top w:type="dxa" w:w="70"/>
              <w:left w:type="dxa" w:w="120"/>
              <w:bottom w:type="dxa" w:w="70"/>
              <w:right w:type="dxa" w:w="120"/>
            </w:tcMar>
          </w:tcPr>
          <w:p>
            <w:r>
              <w:rPr>
                <w:rFonts w:ascii="Arial" w:cs="Arial" w:eastAsia="Arial" w:hAnsi="Arial"/>
                <w:color w:val="555555"/>
                <w:sz w:val="18"/>
                <w:szCs w:val="18"/>
              </w:rPr>
              <w:t xml:space="preserve">Government e-Marketplace procurement activity — supplementary infra signal, covers district-level government buying activity.</w:t>
            </w:r>
          </w:p>
        </w:tc>
      </w:tr>
      <w:tr>
        <w:tc>
          <w:tcPr>
            <w:tcW w:type="dxa" w:w="2200"/>
            <w:tcBorders>
              <w:top w:val="single" w:color="D8D4CC" w:sz="2"/>
              <w:left w:val="single" w:color="D8D4CC" w:sz="2"/>
              <w:bottom w:val="single" w:color="D8D4CC" w:sz="2"/>
              <w:right w:val="single" w:color="D8D4CC" w:sz="2"/>
            </w:tcBorders>
            <w:shd w:fill="FFFFFF" w:val="clear"/>
            <w:tcMar>
              <w:top w:type="dxa" w:w="70"/>
              <w:left w:type="dxa" w:w="120"/>
              <w:bottom w:type="dxa" w:w="70"/>
              <w:right w:type="dxa" w:w="80"/>
            </w:tcMar>
          </w:tcPr>
          <w:p>
            <w:r>
              <w:rPr>
                <w:rFonts w:ascii="Arial" w:cs="Arial" w:eastAsia="Arial" w:hAnsi="Arial"/>
                <w:b/>
                <w:bCs/>
                <w:color w:val="0A0A0A"/>
                <w:sz w:val="18"/>
                <w:szCs w:val="18"/>
              </w:rPr>
              <w:t xml:space="preserve">State RERA Portals</w:t>
            </w:r>
          </w:p>
        </w:tc>
        <w:tc>
          <w:tcPr>
            <w:tcW w:type="dxa" w:w="7160"/>
            <w:tcBorders>
              <w:top w:val="single" w:color="D8D4CC" w:sz="2"/>
              <w:left w:val="single" w:color="D8D4CC" w:sz="2"/>
              <w:bottom w:val="single" w:color="D8D4CC" w:sz="2"/>
              <w:right w:val="single" w:color="D8D4CC" w:sz="2"/>
            </w:tcBorders>
            <w:shd w:fill="FFFFFF" w:val="clear"/>
            <w:tcMar>
              <w:top w:type="dxa" w:w="70"/>
              <w:left w:type="dxa" w:w="120"/>
              <w:bottom w:type="dxa" w:w="70"/>
              <w:right w:type="dxa" w:w="120"/>
            </w:tcMar>
          </w:tcPr>
          <w:p>
            <w:r>
              <w:rPr>
                <w:rFonts w:ascii="Arial" w:cs="Arial" w:eastAsia="Arial" w:hAnsi="Arial"/>
                <w:color w:val="555555"/>
                <w:sz w:val="18"/>
                <w:szCs w:val="18"/>
              </w:rPr>
              <w:t xml:space="preserve">CLU status and land use approval data. Covers all RERA-registered states. 35 state portals supported.</w:t>
            </w:r>
          </w:p>
        </w:tc>
      </w:tr>
      <w:tr>
        <w:tc>
          <w:tcPr>
            <w:tcW w:type="dxa" w:w="2200"/>
            <w:tcBorders>
              <w:top w:val="single" w:color="D8D4CC" w:sz="2"/>
              <w:left w:val="single" w:color="D8D4CC" w:sz="2"/>
              <w:bottom w:val="single" w:color="D8D4CC" w:sz="2"/>
              <w:right w:val="single" w:color="D8D4CC" w:sz="2"/>
            </w:tcBorders>
            <w:shd w:fill="F7F4EF" w:val="clear"/>
            <w:tcMar>
              <w:top w:type="dxa" w:w="70"/>
              <w:left w:type="dxa" w:w="120"/>
              <w:bottom w:type="dxa" w:w="70"/>
              <w:right w:type="dxa" w:w="80"/>
            </w:tcMar>
          </w:tcPr>
          <w:p>
            <w:r>
              <w:rPr>
                <w:rFonts w:ascii="Arial" w:cs="Arial" w:eastAsia="Arial" w:hAnsi="Arial"/>
                <w:b/>
                <w:bCs/>
                <w:color w:val="0A0A0A"/>
                <w:sz w:val="18"/>
                <w:szCs w:val="18"/>
              </w:rPr>
              <w:t xml:space="preserve">Development Authority Master Plans</w:t>
            </w:r>
          </w:p>
        </w:tc>
        <w:tc>
          <w:tcPr>
            <w:tcW w:type="dxa" w:w="7160"/>
            <w:tcBorders>
              <w:top w:val="single" w:color="D8D4CC" w:sz="2"/>
              <w:left w:val="single" w:color="D8D4CC" w:sz="2"/>
              <w:bottom w:val="single" w:color="D8D4CC" w:sz="2"/>
              <w:right w:val="single" w:color="D8D4CC" w:sz="2"/>
            </w:tcBorders>
            <w:shd w:fill="F7F4EF" w:val="clear"/>
            <w:tcMar>
              <w:top w:type="dxa" w:w="70"/>
              <w:left w:type="dxa" w:w="120"/>
              <w:bottom w:type="dxa" w:w="70"/>
              <w:right w:type="dxa" w:w="120"/>
            </w:tcMar>
          </w:tcPr>
          <w:p>
            <w:r>
              <w:rPr>
                <w:rFonts w:ascii="Arial" w:cs="Arial" w:eastAsia="Arial" w:hAnsi="Arial"/>
                <w:color w:val="555555"/>
                <w:sz w:val="18"/>
                <w:szCs w:val="18"/>
              </w:rPr>
              <w:t xml:space="preserve">FAR, zoning, and road width. ADA (Ayodhya), KDA (Kanpur), LDA (Lucknow), BDA (Bengaluru), HMDA (Hyderabad), and all major UDAs. Pan-India.</w:t>
            </w:r>
          </w:p>
        </w:tc>
      </w:tr>
      <w:tr>
        <w:tc>
          <w:tcPr>
            <w:tcW w:type="dxa" w:w="2200"/>
            <w:tcBorders>
              <w:top w:val="single" w:color="D8D4CC" w:sz="2"/>
              <w:left w:val="single" w:color="D8D4CC" w:sz="2"/>
              <w:bottom w:val="single" w:color="D8D4CC" w:sz="2"/>
              <w:right w:val="single" w:color="D8D4CC" w:sz="2"/>
            </w:tcBorders>
            <w:shd w:fill="FFFFFF" w:val="clear"/>
            <w:tcMar>
              <w:top w:type="dxa" w:w="70"/>
              <w:left w:type="dxa" w:w="120"/>
              <w:bottom w:type="dxa" w:w="70"/>
              <w:right w:type="dxa" w:w="80"/>
            </w:tcMar>
          </w:tcPr>
          <w:p>
            <w:r>
              <w:rPr>
                <w:rFonts w:ascii="Arial" w:cs="Arial" w:eastAsia="Arial" w:hAnsi="Arial"/>
                <w:b/>
                <w:bCs/>
                <w:color w:val="0A0A0A"/>
                <w:sz w:val="18"/>
                <w:szCs w:val="18"/>
              </w:rPr>
              <w:t xml:space="preserve">OpenStreetMap / Nominatim</w:t>
            </w:r>
          </w:p>
        </w:tc>
        <w:tc>
          <w:tcPr>
            <w:tcW w:type="dxa" w:w="7160"/>
            <w:tcBorders>
              <w:top w:val="single" w:color="D8D4CC" w:sz="2"/>
              <w:left w:val="single" w:color="D8D4CC" w:sz="2"/>
              <w:bottom w:val="single" w:color="D8D4CC" w:sz="2"/>
              <w:right w:val="single" w:color="D8D4CC" w:sz="2"/>
            </w:tcBorders>
            <w:shd w:fill="FFFFFF" w:val="clear"/>
            <w:tcMar>
              <w:top w:type="dxa" w:w="70"/>
              <w:left w:type="dxa" w:w="120"/>
              <w:bottom w:type="dxa" w:w="70"/>
              <w:right w:type="dxa" w:w="120"/>
            </w:tcMar>
          </w:tcPr>
          <w:p>
            <w:r>
              <w:rPr>
                <w:rFonts w:ascii="Arial" w:cs="Arial" w:eastAsia="Arial" w:hAnsi="Arial"/>
                <w:color w:val="555555"/>
                <w:sz w:val="18"/>
                <w:szCs w:val="18"/>
              </w:rPr>
              <w:t xml:space="preserve">Reverse geocoding — coordinates to district, tehsil, road. Free, no API key required, live.</w:t>
            </w:r>
          </w:p>
        </w:tc>
      </w:tr>
    </w:tbl>
    <w:p>
      <w:pPr>
        <w:spacing w:after="240"/>
      </w:pPr>
    </w:p>
    <w:p>
      <w:pPr>
        <w:pBdr>
          <w:bottom w:val="single" w:color="FF9933" w:sz="8" w:space="4"/>
        </w:pBdr>
        <w:spacing w:after="60" w:before="280"/>
      </w:pPr>
      <w:r>
        <w:rPr>
          <w:rFonts w:ascii="Syne" w:cs="Syne" w:eastAsia="Syne" w:hAnsi="Syne"/>
          <w:b/>
          <w:bCs/>
          <w:caps/>
          <w:color w:val="0A0A0A"/>
          <w:sz w:val="24"/>
          <w:szCs w:val="24"/>
        </w:rPr>
        <w:t xml:space="preserve">05 — Geographic Coverage</w:t>
      </w:r>
    </w:p>
    <w:p>
      <w:pPr>
        <w:spacing w:after="80"/>
      </w:pPr>
    </w:p>
    <w:p>
      <w:pPr>
        <w:spacing w:after="80"/>
      </w:pPr>
      <w:r>
        <w:rPr>
          <w:rFonts w:ascii="Arial" w:cs="Arial" w:eastAsia="Arial" w:hAnsi="Arial"/>
          <w:b/>
          <w:bCs/>
          <w:color w:val="0A0A0A"/>
          <w:sz w:val="20"/>
          <w:szCs w:val="20"/>
        </w:rPr>
        <w:t xml:space="preserve">Pan-India. Any parcel in any Indian state with available government digital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2200"/>
        <w:gridCol w:w="7160"/>
      </w:tblGrid>
      <w:tr>
        <w:tc>
          <w:tcPr>
            <w:tcW w:type="dxa" w:w="2200"/>
            <w:tcBorders>
              <w:top w:val="single" w:color="D8D4CC" w:sz="2"/>
              <w:left w:val="single" w:color="D8D4CC" w:sz="2"/>
              <w:bottom w:val="single" w:color="D8D4CC" w:sz="2"/>
              <w:right w:val="single" w:color="D8D4CC" w:sz="2"/>
            </w:tcBorders>
            <w:shd w:fill="F7F4EF" w:val="clear"/>
            <w:tcMar>
              <w:top w:type="dxa" w:w="70"/>
              <w:left w:type="dxa" w:w="120"/>
              <w:bottom w:type="dxa" w:w="70"/>
              <w:right w:type="dxa" w:w="80"/>
            </w:tcMar>
          </w:tcPr>
          <w:p>
            <w:r>
              <w:rPr>
                <w:rFonts w:ascii="Arial" w:cs="Arial" w:eastAsia="Arial" w:hAnsi="Arial"/>
                <w:b/>
                <w:bCs/>
                <w:color w:val="0A0A0A"/>
                <w:sz w:val="18"/>
                <w:szCs w:val="18"/>
              </w:rPr>
              <w:t xml:space="preserve">Phase 1 (Live)</w:t>
            </w:r>
          </w:p>
        </w:tc>
        <w:tc>
          <w:tcPr>
            <w:tcW w:type="dxa" w:w="7160"/>
            <w:tcBorders>
              <w:top w:val="single" w:color="D8D4CC" w:sz="2"/>
              <w:left w:val="single" w:color="D8D4CC" w:sz="2"/>
              <w:bottom w:val="single" w:color="D8D4CC" w:sz="2"/>
              <w:right w:val="single" w:color="D8D4CC" w:sz="2"/>
            </w:tcBorders>
            <w:shd w:fill="F7F4EF" w:val="clear"/>
            <w:tcMar>
              <w:top w:type="dxa" w:w="70"/>
              <w:left w:type="dxa" w:w="120"/>
              <w:bottom w:type="dxa" w:w="70"/>
              <w:right w:type="dxa" w:w="120"/>
            </w:tcMar>
          </w:tcPr>
          <w:p>
            <w:r>
              <w:rPr>
                <w:rFonts w:ascii="Arial" w:cs="Arial" w:eastAsia="Arial" w:hAnsi="Arial"/>
                <w:color w:val="555555"/>
                <w:sz w:val="18"/>
                <w:szCs w:val="18"/>
              </w:rPr>
              <w:t xml:space="preserve">Uttar Pradesh — full coverage: 75 districts, all sub-registrar offices, ADA/KDA/LDA master plans.</w:t>
            </w:r>
          </w:p>
        </w:tc>
      </w:tr>
      <w:tr>
        <w:tc>
          <w:tcPr>
            <w:tcW w:type="dxa" w:w="2200"/>
            <w:tcBorders>
              <w:top w:val="single" w:color="D8D4CC" w:sz="2"/>
              <w:left w:val="single" w:color="D8D4CC" w:sz="2"/>
              <w:bottom w:val="single" w:color="D8D4CC" w:sz="2"/>
              <w:right w:val="single" w:color="D8D4CC" w:sz="2"/>
            </w:tcBorders>
            <w:shd w:fill="FFFFFF" w:val="clear"/>
            <w:tcMar>
              <w:top w:type="dxa" w:w="70"/>
              <w:left w:type="dxa" w:w="120"/>
              <w:bottom w:type="dxa" w:w="70"/>
              <w:right w:type="dxa" w:w="80"/>
            </w:tcMar>
          </w:tcPr>
          <w:p>
            <w:r>
              <w:rPr>
                <w:rFonts w:ascii="Arial" w:cs="Arial" w:eastAsia="Arial" w:hAnsi="Arial"/>
                <w:b/>
                <w:bCs/>
                <w:color w:val="0A0A0A"/>
                <w:sz w:val="18"/>
                <w:szCs w:val="18"/>
              </w:rPr>
              <w:t xml:space="preserve">Phase 2 (Roadmap)</w:t>
            </w:r>
          </w:p>
        </w:tc>
        <w:tc>
          <w:tcPr>
            <w:tcW w:type="dxa" w:w="7160"/>
            <w:tcBorders>
              <w:top w:val="single" w:color="D8D4CC" w:sz="2"/>
              <w:left w:val="single" w:color="D8D4CC" w:sz="2"/>
              <w:bottom w:val="single" w:color="D8D4CC" w:sz="2"/>
              <w:right w:val="single" w:color="D8D4CC" w:sz="2"/>
            </w:tcBorders>
            <w:shd w:fill="FFFFFF" w:val="clear"/>
            <w:tcMar>
              <w:top w:type="dxa" w:w="70"/>
              <w:left w:type="dxa" w:w="120"/>
              <w:bottom w:type="dxa" w:w="70"/>
              <w:right w:type="dxa" w:w="120"/>
            </w:tcMar>
          </w:tcPr>
          <w:p>
            <w:r>
              <w:rPr>
                <w:rFonts w:ascii="Arial" w:cs="Arial" w:eastAsia="Arial" w:hAnsi="Arial"/>
                <w:color w:val="555555"/>
                <w:sz w:val="18"/>
                <w:szCs w:val="18"/>
              </w:rPr>
              <w:t xml:space="preserve">Maharashtra, Karnataka, Telangana, Delhi NCR — state RERA + IGR integration.</w:t>
            </w:r>
          </w:p>
        </w:tc>
      </w:tr>
      <w:tr>
        <w:tc>
          <w:tcPr>
            <w:tcW w:type="dxa" w:w="2200"/>
            <w:tcBorders>
              <w:top w:val="single" w:color="D8D4CC" w:sz="2"/>
              <w:left w:val="single" w:color="D8D4CC" w:sz="2"/>
              <w:bottom w:val="single" w:color="D8D4CC" w:sz="2"/>
              <w:right w:val="single" w:color="D8D4CC" w:sz="2"/>
            </w:tcBorders>
            <w:shd w:fill="F7F4EF" w:val="clear"/>
            <w:tcMar>
              <w:top w:type="dxa" w:w="70"/>
              <w:left w:type="dxa" w:w="120"/>
              <w:bottom w:type="dxa" w:w="70"/>
              <w:right w:type="dxa" w:w="80"/>
            </w:tcMar>
          </w:tcPr>
          <w:p>
            <w:r>
              <w:rPr>
                <w:rFonts w:ascii="Arial" w:cs="Arial" w:eastAsia="Arial" w:hAnsi="Arial"/>
                <w:b/>
                <w:bCs/>
                <w:color w:val="0A0A0A"/>
                <w:sz w:val="18"/>
                <w:szCs w:val="18"/>
              </w:rPr>
              <w:t xml:space="preserve">Phase 3 (Roadmap)</w:t>
            </w:r>
          </w:p>
        </w:tc>
        <w:tc>
          <w:tcPr>
            <w:tcW w:type="dxa" w:w="7160"/>
            <w:tcBorders>
              <w:top w:val="single" w:color="D8D4CC" w:sz="2"/>
              <w:left w:val="single" w:color="D8D4CC" w:sz="2"/>
              <w:bottom w:val="single" w:color="D8D4CC" w:sz="2"/>
              <w:right w:val="single" w:color="D8D4CC" w:sz="2"/>
            </w:tcBorders>
            <w:shd w:fill="F7F4EF" w:val="clear"/>
            <w:tcMar>
              <w:top w:type="dxa" w:w="70"/>
              <w:left w:type="dxa" w:w="120"/>
              <w:bottom w:type="dxa" w:w="70"/>
              <w:right w:type="dxa" w:w="120"/>
            </w:tcMar>
          </w:tcPr>
          <w:p>
            <w:r>
              <w:rPr>
                <w:rFonts w:ascii="Arial" w:cs="Arial" w:eastAsia="Arial" w:hAnsi="Arial"/>
                <w:color w:val="555555"/>
                <w:sz w:val="18"/>
                <w:szCs w:val="18"/>
              </w:rPr>
              <w:t xml:space="preserve">Tamil Nadu, Gujarat, Rajasthan, Punjab, Haryana, West Bengal.</w:t>
            </w:r>
          </w:p>
        </w:tc>
      </w:tr>
      <w:tr>
        <w:tc>
          <w:tcPr>
            <w:tcW w:type="dxa" w:w="2200"/>
            <w:tcBorders>
              <w:top w:val="single" w:color="D8D4CC" w:sz="2"/>
              <w:left w:val="single" w:color="D8D4CC" w:sz="2"/>
              <w:bottom w:val="single" w:color="D8D4CC" w:sz="2"/>
              <w:right w:val="single" w:color="D8D4CC" w:sz="2"/>
            </w:tcBorders>
            <w:shd w:fill="FFFFFF" w:val="clear"/>
            <w:tcMar>
              <w:top w:type="dxa" w:w="70"/>
              <w:left w:type="dxa" w:w="120"/>
              <w:bottom w:type="dxa" w:w="70"/>
              <w:right w:type="dxa" w:w="80"/>
            </w:tcMar>
          </w:tcPr>
          <w:p>
            <w:r>
              <w:rPr>
                <w:rFonts w:ascii="Arial" w:cs="Arial" w:eastAsia="Arial" w:hAnsi="Arial"/>
                <w:b/>
                <w:bCs/>
                <w:color w:val="0A0A0A"/>
                <w:sz w:val="18"/>
                <w:szCs w:val="18"/>
              </w:rPr>
              <w:t xml:space="preserve">Full coverage</w:t>
            </w:r>
          </w:p>
        </w:tc>
        <w:tc>
          <w:tcPr>
            <w:tcW w:type="dxa" w:w="7160"/>
            <w:tcBorders>
              <w:top w:val="single" w:color="D8D4CC" w:sz="2"/>
              <w:left w:val="single" w:color="D8D4CC" w:sz="2"/>
              <w:bottom w:val="single" w:color="D8D4CC" w:sz="2"/>
              <w:right w:val="single" w:color="D8D4CC" w:sz="2"/>
            </w:tcBorders>
            <w:shd w:fill="FFFFFF" w:val="clear"/>
            <w:tcMar>
              <w:top w:type="dxa" w:w="70"/>
              <w:left w:type="dxa" w:w="120"/>
              <w:bottom w:type="dxa" w:w="70"/>
              <w:right w:type="dxa" w:w="120"/>
            </w:tcMar>
          </w:tcPr>
          <w:p>
            <w:r>
              <w:rPr>
                <w:rFonts w:ascii="Arial" w:cs="Arial" w:eastAsia="Arial" w:hAnsi="Arial"/>
                <w:color w:val="555555"/>
                <w:sz w:val="18"/>
                <w:szCs w:val="18"/>
              </w:rPr>
              <w:t xml:space="preserve">All 28 states + 8 UTs where digital stamp and registration data is available.</w:t>
            </w:r>
          </w:p>
        </w:tc>
      </w:tr>
    </w:tbl>
    <w:p>
      <w:pPr>
        <w:spacing w:after="240"/>
      </w:pPr>
    </w:p>
    <w:p>
      <w:pPr>
        <w:pBdr>
          <w:bottom w:val="single" w:color="FF9933" w:sz="8" w:space="4"/>
        </w:pBdr>
        <w:spacing w:after="60" w:before="280"/>
      </w:pPr>
      <w:r>
        <w:rPr>
          <w:rFonts w:ascii="Syne" w:cs="Syne" w:eastAsia="Syne" w:hAnsi="Syne"/>
          <w:b/>
          <w:bCs/>
          <w:caps/>
          <w:color w:val="0A0A0A"/>
          <w:sz w:val="24"/>
          <w:szCs w:val="24"/>
        </w:rPr>
        <w:t xml:space="preserve">06 — Interface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560"/>
        <w:gridCol w:w="8800"/>
      </w:tblGrid>
      <w:tr>
        <w:tc>
          <w:tcPr>
            <w:tcW w:type="dxa" w:w="560"/>
            <w:tcBorders>
              <w:top w:val="none" w:color="FFFFFF" w:sz="0"/>
              <w:left w:val="none" w:color="FFFFFF" w:sz="0"/>
              <w:bottom w:val="none" w:color="FFFFFF" w:sz="0"/>
              <w:right w:val="none" w:color="FFFFFF" w:sz="0"/>
            </w:tcBorders>
            <w:shd w:fill="FFF5E6" w:val="clear"/>
            <w:tcMar>
              <w:top w:type="dxa" w:w="80"/>
              <w:left w:type="dxa" w:w="80"/>
              <w:bottom w:type="dxa" w:w="80"/>
              <w:right w:type="dxa" w:w="80"/>
            </w:tcMar>
            <w:vAlign w:val="top"/>
          </w:tcPr>
          <w:p>
            <w:pPr>
              <w:jc w:val="center"/>
            </w:pPr>
            <w:r>
              <w:rPr>
                <w:rFonts w:ascii="Arial" w:cs="Arial" w:eastAsia="Arial" w:hAnsi="Arial"/>
                <w:sz w:val="28"/>
                <w:szCs w:val="28"/>
              </w:rPr>
              <w:t xml:space="preserve">⊡</w:t>
            </w:r>
          </w:p>
        </w:tc>
        <w:tc>
          <w:tcPr>
            <w:tcW w:type="dxa" w:w="8800"/>
            <w:tcBorders>
              <w:top w:val="none" w:color="FFFFFF" w:sz="0"/>
              <w:left w:val="single" w:color="FF9933" w:sz="6"/>
              <w:bottom w:val="none" w:color="FFFFFF" w:sz="0"/>
              <w:right w:val="none" w:color="FFFFFF" w:sz="0"/>
            </w:tcBorders>
            <w:shd w:fill="FFF5E6" w:val="clear"/>
            <w:tcMar>
              <w:top w:type="dxa" w:w="80"/>
              <w:left w:type="dxa" w:w="160"/>
              <w:bottom w:type="dxa" w:w="80"/>
              <w:right w:type="dxa" w:w="120"/>
            </w:tcMar>
          </w:tcPr>
          <w:p>
            <w:pPr>
              <w:spacing w:after="30"/>
            </w:pPr>
            <w:r>
              <w:rPr>
                <w:rFonts w:ascii="Arial" w:cs="Arial" w:eastAsia="Arial" w:hAnsi="Arial"/>
                <w:b/>
                <w:bCs/>
                <w:color w:val="CC7A29"/>
                <w:sz w:val="20"/>
                <w:szCs w:val="20"/>
              </w:rPr>
              <w:t xml:space="preserve">Interactive map</w:t>
            </w:r>
          </w:p>
          <w:p>
            <w:pPr>
              <w:spacing w:after="0"/>
            </w:pPr>
            <w:r>
              <w:rPr>
                <w:rFonts w:ascii="Arial" w:cs="Arial" w:eastAsia="Arial" w:hAnsi="Arial"/>
                <w:color w:val="555555"/>
                <w:sz w:val="18"/>
                <w:szCs w:val="18"/>
              </w:rPr>
              <w:t xml:space="preserve">Leaflet-based map (street + satellite toggle). User clicks any location — pin drops, all data auto-resolves. No address typing required.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560"/>
        <w:gridCol w:w="8800"/>
      </w:tblGrid>
      <w:tr>
        <w:tc>
          <w:tcPr>
            <w:tcW w:type="dxa" w:w="56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vAlign w:val="top"/>
          </w:tcPr>
          <w:p>
            <w:pPr>
              <w:jc w:val="center"/>
            </w:pPr>
            <w:r>
              <w:rPr>
                <w:rFonts w:ascii="Arial" w:cs="Arial" w:eastAsia="Arial" w:hAnsi="Arial"/>
                <w:sz w:val="28"/>
                <w:szCs w:val="28"/>
              </w:rPr>
              <w:t xml:space="preserve">◷</w:t>
            </w:r>
          </w:p>
        </w:tc>
        <w:tc>
          <w:tcPr>
            <w:tcW w:type="dxa" w:w="8800"/>
            <w:tcBorders>
              <w:top w:val="none" w:color="FFFFFF" w:sz="0"/>
              <w:left w:val="single" w:color="D8D4CC" w:sz="6"/>
              <w:bottom w:val="none" w:color="FFFFFF" w:sz="0"/>
              <w:right w:val="none" w:color="FFFFFF" w:sz="0"/>
            </w:tcBorders>
            <w:shd w:fill="FFFFFF" w:val="clear"/>
            <w:tcMar>
              <w:top w:type="dxa" w:w="80"/>
              <w:left w:type="dxa" w:w="160"/>
              <w:bottom w:type="dxa" w:w="80"/>
              <w:right w:type="dxa" w:w="120"/>
            </w:tcMar>
          </w:tcPr>
          <w:p>
            <w:pPr>
              <w:spacing w:after="30"/>
            </w:pPr>
            <w:r>
              <w:rPr>
                <w:rFonts w:ascii="Arial" w:cs="Arial" w:eastAsia="Arial" w:hAnsi="Arial"/>
                <w:b/>
                <w:bCs/>
                <w:color w:val="0A0A0A"/>
                <w:sz w:val="20"/>
                <w:szCs w:val="20"/>
              </w:rPr>
              <w:t xml:space="preserve">Score in under 3 seconds</w:t>
            </w:r>
          </w:p>
          <w:p>
            <w:pPr>
              <w:spacing w:after="0"/>
            </w:pPr>
            <w:r>
              <w:rPr>
                <w:rFonts w:ascii="Arial" w:cs="Arial" w:eastAsia="Arial" w:hAnsi="Arial"/>
                <w:color w:val="555555"/>
                <w:sz w:val="18"/>
                <w:szCs w:val="18"/>
              </w:rPr>
              <w:t xml:space="preserve">From pin drop to full ROCI score — target response time under 3 seconds for cached data, under 10 seconds for live government API pulls.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560"/>
        <w:gridCol w:w="8800"/>
      </w:tblGrid>
      <w:tr>
        <w:tc>
          <w:tcPr>
            <w:tcW w:type="dxa" w:w="56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vAlign w:val="top"/>
          </w:tcPr>
          <w:p>
            <w:pPr>
              <w:jc w:val="center"/>
            </w:pPr>
            <w:r>
              <w:rPr>
                <w:rFonts w:ascii="Arial" w:cs="Arial" w:eastAsia="Arial" w:hAnsi="Arial"/>
                <w:sz w:val="28"/>
                <w:szCs w:val="28"/>
              </w:rPr>
              <w:t xml:space="preserve">⊞</w:t>
            </w:r>
          </w:p>
        </w:tc>
        <w:tc>
          <w:tcPr>
            <w:tcW w:type="dxa" w:w="8800"/>
            <w:tcBorders>
              <w:top w:val="none" w:color="FFFFFF" w:sz="0"/>
              <w:left w:val="single" w:color="D8D4CC" w:sz="6"/>
              <w:bottom w:val="none" w:color="FFFFFF" w:sz="0"/>
              <w:right w:val="none" w:color="FFFFFF" w:sz="0"/>
            </w:tcBorders>
            <w:shd w:fill="FFFFFF" w:val="clear"/>
            <w:tcMar>
              <w:top w:type="dxa" w:w="80"/>
              <w:left w:type="dxa" w:w="160"/>
              <w:bottom w:type="dxa" w:w="80"/>
              <w:right w:type="dxa" w:w="120"/>
            </w:tcMar>
          </w:tcPr>
          <w:p>
            <w:pPr>
              <w:spacing w:after="30"/>
            </w:pPr>
            <w:r>
              <w:rPr>
                <w:rFonts w:ascii="Arial" w:cs="Arial" w:eastAsia="Arial" w:hAnsi="Arial"/>
                <w:b/>
                <w:bCs/>
                <w:color w:val="0A0A0A"/>
                <w:sz w:val="20"/>
                <w:szCs w:val="20"/>
              </w:rPr>
              <w:t xml:space="preserve">AI deal brief</w:t>
            </w:r>
          </w:p>
          <w:p>
            <w:pPr>
              <w:spacing w:after="0"/>
            </w:pPr>
            <w:r>
              <w:rPr>
                <w:rFonts w:ascii="Arial" w:cs="Arial" w:eastAsia="Arial" w:hAnsi="Arial"/>
                <w:color w:val="555555"/>
                <w:sz w:val="18"/>
                <w:szCs w:val="18"/>
              </w:rPr>
              <w:t xml:space="preserve">Optional Claude AI-generated investment signal brief — 3 paragraphs covering location, data signals, and recommendation. Triggered on demand after score is displayed.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560"/>
        <w:gridCol w:w="8800"/>
      </w:tblGrid>
      <w:tr>
        <w:tc>
          <w:tcPr>
            <w:tcW w:type="dxa" w:w="56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vAlign w:val="top"/>
          </w:tcPr>
          <w:p>
            <w:pPr>
              <w:jc w:val="center"/>
            </w:pPr>
            <w:r>
              <w:rPr>
                <w:rFonts w:ascii="Arial" w:cs="Arial" w:eastAsia="Arial" w:hAnsi="Arial"/>
                <w:sz w:val="28"/>
                <w:szCs w:val="28"/>
              </w:rPr>
              <w:t xml:space="preserve">▣</w:t>
            </w:r>
          </w:p>
        </w:tc>
        <w:tc>
          <w:tcPr>
            <w:tcW w:type="dxa" w:w="8800"/>
            <w:tcBorders>
              <w:top w:val="none" w:color="FFFFFF" w:sz="0"/>
              <w:left w:val="single" w:color="D8D4CC" w:sz="6"/>
              <w:bottom w:val="none" w:color="FFFFFF" w:sz="0"/>
              <w:right w:val="none" w:color="FFFFFF" w:sz="0"/>
            </w:tcBorders>
            <w:shd w:fill="FFFFFF" w:val="clear"/>
            <w:tcMar>
              <w:top w:type="dxa" w:w="80"/>
              <w:left w:type="dxa" w:w="160"/>
              <w:bottom w:type="dxa" w:w="80"/>
              <w:right w:type="dxa" w:w="120"/>
            </w:tcMar>
          </w:tcPr>
          <w:p>
            <w:pPr>
              <w:spacing w:after="30"/>
            </w:pPr>
            <w:r>
              <w:rPr>
                <w:rFonts w:ascii="Arial" w:cs="Arial" w:eastAsia="Arial" w:hAnsi="Arial"/>
                <w:b/>
                <w:bCs/>
                <w:color w:val="0A0A0A"/>
                <w:sz w:val="20"/>
                <w:szCs w:val="20"/>
              </w:rPr>
              <w:t xml:space="preserve">Score history</w:t>
            </w:r>
          </w:p>
          <w:p>
            <w:pPr>
              <w:spacing w:after="0"/>
            </w:pPr>
            <w:r>
              <w:rPr>
                <w:rFonts w:ascii="Arial" w:cs="Arial" w:eastAsia="Arial" w:hAnsi="Arial"/>
                <w:color w:val="555555"/>
                <w:sz w:val="18"/>
                <w:szCs w:val="18"/>
              </w:rPr>
              <w:t xml:space="preserve">All scored parcels stored locally with timestamp, coordinates, score, and brief. Browsable history panel.</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560"/>
        <w:gridCol w:w="8800"/>
      </w:tblGrid>
      <w:tr>
        <w:tc>
          <w:tcPr>
            <w:tcW w:type="dxa" w:w="560"/>
            <w:tcBorders>
              <w:top w:val="none" w:color="FFFFFF" w:sz="0"/>
              <w:left w:val="none" w:color="FFFFFF" w:sz="0"/>
              <w:bottom w:val="none" w:color="FFFFFF" w:sz="0"/>
              <w:right w:val="none" w:color="FFFFFF" w:sz="0"/>
            </w:tcBorders>
            <w:shd w:fill="FFF5E6" w:val="clear"/>
            <w:tcMar>
              <w:top w:type="dxa" w:w="80"/>
              <w:left w:type="dxa" w:w="80"/>
              <w:bottom w:type="dxa" w:w="80"/>
              <w:right w:type="dxa" w:w="80"/>
            </w:tcMar>
            <w:vAlign w:val="top"/>
          </w:tcPr>
          <w:p>
            <w:pPr>
              <w:jc w:val="center"/>
            </w:pPr>
            <w:r>
              <w:rPr>
                <w:rFonts w:ascii="Arial" w:cs="Arial" w:eastAsia="Arial" w:hAnsi="Arial"/>
                <w:sz w:val="28"/>
                <w:szCs w:val="28"/>
              </w:rPr>
              <w:t xml:space="preserve">⬇</w:t>
            </w:r>
          </w:p>
        </w:tc>
        <w:tc>
          <w:tcPr>
            <w:tcW w:type="dxa" w:w="8800"/>
            <w:tcBorders>
              <w:top w:val="none" w:color="FFFFFF" w:sz="0"/>
              <w:left w:val="single" w:color="FF9933" w:sz="6"/>
              <w:bottom w:val="none" w:color="FFFFFF" w:sz="0"/>
              <w:right w:val="none" w:color="FFFFFF" w:sz="0"/>
            </w:tcBorders>
            <w:shd w:fill="FFF5E6" w:val="clear"/>
            <w:tcMar>
              <w:top w:type="dxa" w:w="80"/>
              <w:left w:type="dxa" w:w="160"/>
              <w:bottom w:type="dxa" w:w="80"/>
              <w:right w:type="dxa" w:w="120"/>
            </w:tcMar>
          </w:tcPr>
          <w:p>
            <w:pPr>
              <w:spacing w:after="30"/>
            </w:pPr>
            <w:r>
              <w:rPr>
                <w:rFonts w:ascii="Arial" w:cs="Arial" w:eastAsia="Arial" w:hAnsi="Arial"/>
                <w:b/>
                <w:bCs/>
                <w:color w:val="CC7A29"/>
                <w:sz w:val="20"/>
                <w:szCs w:val="20"/>
              </w:rPr>
              <w:t xml:space="preserve">Data source transparency</w:t>
            </w:r>
          </w:p>
          <w:p>
            <w:pPr>
              <w:spacing w:after="0"/>
            </w:pPr>
            <w:r>
              <w:rPr>
                <w:rFonts w:ascii="Arial" w:cs="Arial" w:eastAsia="Arial" w:hAnsi="Arial"/>
                <w:color w:val="555555"/>
                <w:sz w:val="18"/>
                <w:szCs w:val="18"/>
              </w:rPr>
              <w:t xml:space="preserve">Every data point in the result shows its source and date — circle rate shows 'IGRSUP · Sep 2024', tenders show 'CPPP · April 2026'. No black-box outputs.</w:t>
            </w:r>
          </w:p>
        </w:tc>
      </w:tr>
    </w:tbl>
    <w:p>
      <w:pPr>
        <w:spacing w:after="240"/>
      </w:pPr>
    </w:p>
    <w:p>
      <w:pPr>
        <w:pBdr>
          <w:bottom w:val="single" w:color="FF9933" w:sz="8" w:space="4"/>
        </w:pBdr>
        <w:spacing w:after="60" w:before="280"/>
      </w:pPr>
      <w:r>
        <w:rPr>
          <w:rFonts w:ascii="Syne" w:cs="Syne" w:eastAsia="Syne" w:hAnsi="Syne"/>
          <w:b/>
          <w:bCs/>
          <w:caps/>
          <w:color w:val="0A0A0A"/>
          <w:sz w:val="24"/>
          <w:szCs w:val="24"/>
        </w:rPr>
        <w:t xml:space="preserve">07 — Data Refresh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60"/>
        </w:tblCellMar>
      </w:tblPr>
      <w:tblGrid>
        <w:gridCol w:w="2200"/>
        <w:gridCol w:w="7160"/>
      </w:tblGrid>
      <w:tr>
        <w:tc>
          <w:tcPr>
            <w:tcW w:type="dxa" w:w="2200"/>
            <w:tcBorders>
              <w:top w:val="single" w:color="D8D4CC" w:sz="2"/>
              <w:left w:val="single" w:color="D8D4CC" w:sz="2"/>
              <w:bottom w:val="single" w:color="D8D4CC" w:sz="2"/>
              <w:right w:val="single" w:color="D8D4CC" w:sz="2"/>
            </w:tcBorders>
            <w:shd w:fill="F7F4EF" w:val="clear"/>
            <w:tcMar>
              <w:top w:type="dxa" w:w="70"/>
              <w:left w:type="dxa" w:w="120"/>
              <w:bottom w:type="dxa" w:w="70"/>
              <w:right w:type="dxa" w:w="80"/>
            </w:tcMar>
          </w:tcPr>
          <w:p>
            <w:r>
              <w:rPr>
                <w:rFonts w:ascii="Arial" w:cs="Arial" w:eastAsia="Arial" w:hAnsi="Arial"/>
                <w:b/>
                <w:bCs/>
                <w:color w:val="0A0A0A"/>
                <w:sz w:val="18"/>
                <w:szCs w:val="18"/>
              </w:rPr>
              <w:t xml:space="preserve">Circle rates</w:t>
            </w:r>
          </w:p>
        </w:tc>
        <w:tc>
          <w:tcPr>
            <w:tcW w:type="dxa" w:w="7160"/>
            <w:tcBorders>
              <w:top w:val="single" w:color="D8D4CC" w:sz="2"/>
              <w:left w:val="single" w:color="D8D4CC" w:sz="2"/>
              <w:bottom w:val="single" w:color="D8D4CC" w:sz="2"/>
              <w:right w:val="single" w:color="D8D4CC" w:sz="2"/>
            </w:tcBorders>
            <w:shd w:fill="F7F4EF" w:val="clear"/>
            <w:tcMar>
              <w:top w:type="dxa" w:w="70"/>
              <w:left w:type="dxa" w:w="120"/>
              <w:bottom w:type="dxa" w:w="70"/>
              <w:right w:type="dxa" w:w="120"/>
            </w:tcMar>
          </w:tcPr>
          <w:p>
            <w:r>
              <w:rPr>
                <w:rFonts w:ascii="Arial" w:cs="Arial" w:eastAsia="Arial" w:hAnsi="Arial"/>
                <w:color w:val="555555"/>
                <w:sz w:val="18"/>
                <w:szCs w:val="18"/>
              </w:rPr>
              <w:t xml:space="preserve">Quarterly — sourced from IGRSUP/state Mulyankan Soochi PDF publications. Updated when state revises rates.</w:t>
            </w:r>
          </w:p>
        </w:tc>
      </w:tr>
      <w:tr>
        <w:tc>
          <w:tcPr>
            <w:tcW w:type="dxa" w:w="2200"/>
            <w:tcBorders>
              <w:top w:val="single" w:color="D8D4CC" w:sz="2"/>
              <w:left w:val="single" w:color="D8D4CC" w:sz="2"/>
              <w:bottom w:val="single" w:color="D8D4CC" w:sz="2"/>
              <w:right w:val="single" w:color="D8D4CC" w:sz="2"/>
            </w:tcBorders>
            <w:shd w:fill="FFFFFF" w:val="clear"/>
            <w:tcMar>
              <w:top w:type="dxa" w:w="70"/>
              <w:left w:type="dxa" w:w="120"/>
              <w:bottom w:type="dxa" w:w="70"/>
              <w:right w:type="dxa" w:w="80"/>
            </w:tcMar>
          </w:tcPr>
          <w:p>
            <w:r>
              <w:rPr>
                <w:rFonts w:ascii="Arial" w:cs="Arial" w:eastAsia="Arial" w:hAnsi="Arial"/>
                <w:b/>
                <w:bCs/>
                <w:color w:val="0A0A0A"/>
                <w:sz w:val="18"/>
                <w:szCs w:val="18"/>
              </w:rPr>
              <w:t xml:space="preserve">Registry counts</w:t>
            </w:r>
          </w:p>
        </w:tc>
        <w:tc>
          <w:tcPr>
            <w:tcW w:type="dxa" w:w="7160"/>
            <w:tcBorders>
              <w:top w:val="single" w:color="D8D4CC" w:sz="2"/>
              <w:left w:val="single" w:color="D8D4CC" w:sz="2"/>
              <w:bottom w:val="single" w:color="D8D4CC" w:sz="2"/>
              <w:right w:val="single" w:color="D8D4CC" w:sz="2"/>
            </w:tcBorders>
            <w:shd w:fill="FFFFFF" w:val="clear"/>
            <w:tcMar>
              <w:top w:type="dxa" w:w="70"/>
              <w:left w:type="dxa" w:w="120"/>
              <w:bottom w:type="dxa" w:w="70"/>
              <w:right w:type="dxa" w:w="120"/>
            </w:tcMar>
          </w:tcPr>
          <w:p>
            <w:r>
              <w:rPr>
                <w:rFonts w:ascii="Arial" w:cs="Arial" w:eastAsia="Arial" w:hAnsi="Arial"/>
                <w:color w:val="555555"/>
                <w:sz w:val="18"/>
                <w:szCs w:val="18"/>
              </w:rPr>
              <w:t xml:space="preserve">Weekly — Selenium-based scraper pulls fresh IGRSUP transaction counts per tehsil. Runs on schedule or on-demand.</w:t>
            </w:r>
          </w:p>
        </w:tc>
      </w:tr>
      <w:tr>
        <w:tc>
          <w:tcPr>
            <w:tcW w:type="dxa" w:w="2200"/>
            <w:tcBorders>
              <w:top w:val="single" w:color="D8D4CC" w:sz="2"/>
              <w:left w:val="single" w:color="D8D4CC" w:sz="2"/>
              <w:bottom w:val="single" w:color="D8D4CC" w:sz="2"/>
              <w:right w:val="single" w:color="D8D4CC" w:sz="2"/>
            </w:tcBorders>
            <w:shd w:fill="F7F4EF" w:val="clear"/>
            <w:tcMar>
              <w:top w:type="dxa" w:w="70"/>
              <w:left w:type="dxa" w:w="120"/>
              <w:bottom w:type="dxa" w:w="70"/>
              <w:right w:type="dxa" w:w="80"/>
            </w:tcMar>
          </w:tcPr>
          <w:p>
            <w:r>
              <w:rPr>
                <w:rFonts w:ascii="Arial" w:cs="Arial" w:eastAsia="Arial" w:hAnsi="Arial"/>
                <w:b/>
                <w:bCs/>
                <w:color w:val="0A0A0A"/>
                <w:sz w:val="18"/>
                <w:szCs w:val="18"/>
              </w:rPr>
              <w:t xml:space="preserve">Tender data</w:t>
            </w:r>
          </w:p>
        </w:tc>
        <w:tc>
          <w:tcPr>
            <w:tcW w:type="dxa" w:w="7160"/>
            <w:tcBorders>
              <w:top w:val="single" w:color="D8D4CC" w:sz="2"/>
              <w:left w:val="single" w:color="D8D4CC" w:sz="2"/>
              <w:bottom w:val="single" w:color="D8D4CC" w:sz="2"/>
              <w:right w:val="single" w:color="D8D4CC" w:sz="2"/>
            </w:tcBorders>
            <w:shd w:fill="F7F4EF" w:val="clear"/>
            <w:tcMar>
              <w:top w:type="dxa" w:w="70"/>
              <w:left w:type="dxa" w:w="120"/>
              <w:bottom w:type="dxa" w:w="70"/>
              <w:right w:type="dxa" w:w="120"/>
            </w:tcMar>
          </w:tcPr>
          <w:p>
            <w:r>
              <w:rPr>
                <w:rFonts w:ascii="Arial" w:cs="Arial" w:eastAsia="Arial" w:hAnsi="Arial"/>
                <w:color w:val="555555"/>
                <w:sz w:val="18"/>
                <w:szCs w:val="18"/>
              </w:rPr>
              <w:t xml:space="preserve">Daily — CPPP and GeM APIs polled for new and closed tenders. Data freshness shown in UI.</w:t>
            </w:r>
          </w:p>
        </w:tc>
      </w:tr>
      <w:tr>
        <w:tc>
          <w:tcPr>
            <w:tcW w:type="dxa" w:w="2200"/>
            <w:tcBorders>
              <w:top w:val="single" w:color="D8D4CC" w:sz="2"/>
              <w:left w:val="single" w:color="D8D4CC" w:sz="2"/>
              <w:bottom w:val="single" w:color="D8D4CC" w:sz="2"/>
              <w:right w:val="single" w:color="D8D4CC" w:sz="2"/>
            </w:tcBorders>
            <w:shd w:fill="FFFFFF" w:val="clear"/>
            <w:tcMar>
              <w:top w:type="dxa" w:w="70"/>
              <w:left w:type="dxa" w:w="120"/>
              <w:bottom w:type="dxa" w:w="70"/>
              <w:right w:type="dxa" w:w="80"/>
            </w:tcMar>
          </w:tcPr>
          <w:p>
            <w:r>
              <w:rPr>
                <w:rFonts w:ascii="Arial" w:cs="Arial" w:eastAsia="Arial" w:hAnsi="Arial"/>
                <w:b/>
                <w:bCs/>
                <w:color w:val="0A0A0A"/>
                <w:sz w:val="18"/>
                <w:szCs w:val="18"/>
              </w:rPr>
              <w:t xml:space="preserve">CLU status</w:t>
            </w:r>
          </w:p>
        </w:tc>
        <w:tc>
          <w:tcPr>
            <w:tcW w:type="dxa" w:w="7160"/>
            <w:tcBorders>
              <w:top w:val="single" w:color="D8D4CC" w:sz="2"/>
              <w:left w:val="single" w:color="D8D4CC" w:sz="2"/>
              <w:bottom w:val="single" w:color="D8D4CC" w:sz="2"/>
              <w:right w:val="single" w:color="D8D4CC" w:sz="2"/>
            </w:tcBorders>
            <w:shd w:fill="FFFFFF" w:val="clear"/>
            <w:tcMar>
              <w:top w:type="dxa" w:w="70"/>
              <w:left w:type="dxa" w:w="120"/>
              <w:bottom w:type="dxa" w:w="70"/>
              <w:right w:type="dxa" w:w="120"/>
            </w:tcMar>
          </w:tcPr>
          <w:p>
            <w:r>
              <w:rPr>
                <w:rFonts w:ascii="Arial" w:cs="Arial" w:eastAsia="Arial" w:hAnsi="Arial"/>
                <w:color w:val="555555"/>
                <w:sz w:val="18"/>
                <w:szCs w:val="18"/>
              </w:rPr>
              <w:t xml:space="preserve">On-demand — live API call to state RERA portal at time of score. Always real-time.</w:t>
            </w:r>
          </w:p>
        </w:tc>
      </w:tr>
      <w:tr>
        <w:tc>
          <w:tcPr>
            <w:tcW w:type="dxa" w:w="2200"/>
            <w:tcBorders>
              <w:top w:val="single" w:color="D8D4CC" w:sz="2"/>
              <w:left w:val="single" w:color="D8D4CC" w:sz="2"/>
              <w:bottom w:val="single" w:color="D8D4CC" w:sz="2"/>
              <w:right w:val="single" w:color="D8D4CC" w:sz="2"/>
            </w:tcBorders>
            <w:shd w:fill="F7F4EF" w:val="clear"/>
            <w:tcMar>
              <w:top w:type="dxa" w:w="70"/>
              <w:left w:type="dxa" w:w="120"/>
              <w:bottom w:type="dxa" w:w="70"/>
              <w:right w:type="dxa" w:w="80"/>
            </w:tcMar>
          </w:tcPr>
          <w:p>
            <w:r>
              <w:rPr>
                <w:rFonts w:ascii="Arial" w:cs="Arial" w:eastAsia="Arial" w:hAnsi="Arial"/>
                <w:b/>
                <w:bCs/>
                <w:color w:val="0A0A0A"/>
                <w:sz w:val="18"/>
                <w:szCs w:val="18"/>
              </w:rPr>
              <w:t xml:space="preserve">Master plan / FAR</w:t>
            </w:r>
          </w:p>
        </w:tc>
        <w:tc>
          <w:tcPr>
            <w:tcW w:type="dxa" w:w="7160"/>
            <w:tcBorders>
              <w:top w:val="single" w:color="D8D4CC" w:sz="2"/>
              <w:left w:val="single" w:color="D8D4CC" w:sz="2"/>
              <w:bottom w:val="single" w:color="D8D4CC" w:sz="2"/>
              <w:right w:val="single" w:color="D8D4CC" w:sz="2"/>
            </w:tcBorders>
            <w:shd w:fill="F7F4EF" w:val="clear"/>
            <w:tcMar>
              <w:top w:type="dxa" w:w="70"/>
              <w:left w:type="dxa" w:w="120"/>
              <w:bottom w:type="dxa" w:w="70"/>
              <w:right w:type="dxa" w:w="120"/>
            </w:tcMar>
          </w:tcPr>
          <w:p>
            <w:r>
              <w:rPr>
                <w:rFonts w:ascii="Arial" w:cs="Arial" w:eastAsia="Arial" w:hAnsi="Arial"/>
                <w:color w:val="555555"/>
                <w:sz w:val="18"/>
                <w:szCs w:val="18"/>
              </w:rPr>
              <w:t xml:space="preserve">Static unless development authority issues a revision. Updated manually when new master plan versions published.</w:t>
            </w:r>
          </w:p>
        </w:tc>
      </w:tr>
    </w:tbl>
    <w:p>
      <w:pPr>
        <w:spacing w:after="240"/>
      </w:pPr>
    </w:p>
    <w:p>
      <w:pPr>
        <w:spacing w:after="280"/>
      </w:pPr>
    </w:p>
    <w:p>
      <w:pPr>
        <w:pBdr>
          <w:top w:val="single" w:color="FF9933" w:sz="8" w:space="6"/>
        </w:pBdr>
        <w:spacing w:before="200"/>
      </w:pPr>
      <w:r>
        <w:rPr>
          <w:rFonts w:ascii="Arial" w:cs="Arial" w:eastAsia="Arial" w:hAnsi="Arial"/>
          <w:i/>
          <w:iCs/>
          <w:color w:val="888880"/>
          <w:sz w:val="16"/>
          <w:szCs w:val="16"/>
        </w:rPr>
        <w:t xml:space="preserve">Philom Tech Pvt. Ltd.  ·  ROCI Engine  ·  Confidential  ·  Not for distribution  ·  © 2025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2026-04-09T06:58:03.851Z</dcterms:created>
  <dcterms:modified xsi:type="dcterms:W3CDTF">2026-04-09T06:58:03.852Z</dcterms:modified>
</cp:coreProperties>
</file>

<file path=docProps/custom.xml><?xml version="1.0" encoding="utf-8"?>
<Properties xmlns="http://schemas.openxmlformats.org/officeDocument/2006/custom-properties" xmlns:vt="http://schemas.openxmlformats.org/officeDocument/2006/docPropsVTypes"/>
</file>