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403760">
              <w:rPr>
                <w:noProof/>
                <w:webHidden/>
              </w:rPr>
              <w:t>2</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540BB7">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D1370A">
            <w:pPr>
              <w:rPr>
                <w:rFonts w:ascii="ＭＳ 明朝" w:eastAsia="ＭＳ 明朝" w:hAnsi="ＭＳ 明朝"/>
                <w:sz w:val="18"/>
              </w:rPr>
            </w:pP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D1370A">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D1370A">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D1370A">
        <w:tc>
          <w:tcPr>
            <w:tcW w:w="9067" w:type="dxa"/>
            <w:gridSpan w:val="2"/>
            <w:shd w:val="clear" w:color="auto" w:fill="A8D08D" w:themeFill="accent6" w:themeFillTint="99"/>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bookmarkStart w:id="5" w:name="_GoBack"/>
      <w:bookmarkEnd w:id="5"/>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8D20CD" w:rsidP="001B3C83">
      <w:pPr>
        <w:widowControl/>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0"/>
      <w:r>
        <w:rPr>
          <w:rFonts w:ascii="ＭＳ ゴシック" w:eastAsia="ＭＳ ゴシック" w:hAnsi="ＭＳ ゴシック" w:hint="eastAsia"/>
          <w:b/>
          <w:sz w:val="28"/>
        </w:rPr>
        <w:t>７</w:t>
      </w:r>
      <w:r w:rsidR="00737FDD">
        <w:rPr>
          <w:rFonts w:ascii="ＭＳ ゴシック" w:eastAsia="ＭＳ ゴシック" w:hAnsi="ＭＳ ゴシック" w:hint="eastAsia"/>
          <w:b/>
          <w:sz w:val="28"/>
        </w:rPr>
        <w:t>．データベース設計</w:t>
      </w:r>
      <w:bookmarkEnd w:id="6"/>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7"/>
        <w:gridCol w:w="2131"/>
        <w:gridCol w:w="6512"/>
      </w:tblGrid>
      <w:tr w:rsidR="005F4BCE" w:rsidTr="005F4BCE">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176"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594"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1</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使用者</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2</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企業説明会</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3</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企業予約</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4</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tc>
      </w:tr>
      <w:tr w:rsidR="00AC1422" w:rsidTr="005F4BCE">
        <w:tc>
          <w:tcPr>
            <w:tcW w:w="230" w:type="pct"/>
            <w:vAlign w:val="center"/>
          </w:tcPr>
          <w:p w:rsidR="00AC1422" w:rsidRDefault="00AC1422" w:rsidP="005F4BCE">
            <w:pPr>
              <w:jc w:val="center"/>
              <w:rPr>
                <w:rFonts w:ascii="ＭＳ 明朝" w:eastAsia="ＭＳ 明朝" w:hAnsi="ＭＳ 明朝"/>
                <w:sz w:val="18"/>
              </w:rPr>
            </w:pPr>
            <w:r>
              <w:rPr>
                <w:rFonts w:ascii="ＭＳ 明朝" w:eastAsia="ＭＳ 明朝" w:hAnsi="ＭＳ 明朝" w:hint="eastAsia"/>
                <w:sz w:val="18"/>
              </w:rPr>
              <w:t>5</w:t>
            </w:r>
          </w:p>
        </w:tc>
        <w:tc>
          <w:tcPr>
            <w:tcW w:w="1176"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tc>
        <w:tc>
          <w:tcPr>
            <w:tcW w:w="3594"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去年の学生の管理</w:t>
            </w:r>
          </w:p>
        </w:tc>
      </w:tr>
      <w:tr w:rsidR="001B3C83" w:rsidTr="005F4BCE">
        <w:tc>
          <w:tcPr>
            <w:tcW w:w="230" w:type="pct"/>
            <w:vAlign w:val="center"/>
          </w:tcPr>
          <w:p w:rsidR="001B3C83" w:rsidRDefault="00AC1422" w:rsidP="001B3C83">
            <w:pPr>
              <w:jc w:val="center"/>
              <w:rPr>
                <w:rFonts w:ascii="ＭＳ 明朝" w:eastAsia="ＭＳ 明朝" w:hAnsi="ＭＳ 明朝"/>
                <w:sz w:val="18"/>
              </w:rPr>
            </w:pPr>
            <w:r>
              <w:rPr>
                <w:rFonts w:ascii="ＭＳ 明朝" w:eastAsia="ＭＳ 明朝" w:hAnsi="ＭＳ 明朝" w:hint="eastAsia"/>
                <w:sz w:val="18"/>
              </w:rPr>
              <w:t>6</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tc>
        <w:tc>
          <w:tcPr>
            <w:tcW w:w="3594"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tc>
      </w:tr>
      <w:tr w:rsidR="00CF5B87" w:rsidTr="005F4BCE">
        <w:tc>
          <w:tcPr>
            <w:tcW w:w="230" w:type="pct"/>
            <w:vAlign w:val="center"/>
          </w:tcPr>
          <w:p w:rsidR="00CF5B87" w:rsidRDefault="00AC1422" w:rsidP="001B3C83">
            <w:pPr>
              <w:jc w:val="center"/>
              <w:rPr>
                <w:rFonts w:ascii="ＭＳ 明朝" w:eastAsia="ＭＳ 明朝" w:hAnsi="ＭＳ 明朝"/>
                <w:sz w:val="18"/>
              </w:rPr>
            </w:pPr>
            <w:r>
              <w:rPr>
                <w:rFonts w:ascii="ＭＳ 明朝" w:eastAsia="ＭＳ 明朝" w:hAnsi="ＭＳ 明朝" w:hint="eastAsia"/>
                <w:sz w:val="18"/>
              </w:rPr>
              <w:t>7</w:t>
            </w:r>
          </w:p>
        </w:tc>
        <w:tc>
          <w:tcPr>
            <w:tcW w:w="1176"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tc>
        <w:tc>
          <w:tcPr>
            <w:tcW w:w="3594"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tc>
      </w:tr>
      <w:tr w:rsidR="0091008F" w:rsidTr="005F4BCE">
        <w:tc>
          <w:tcPr>
            <w:tcW w:w="230" w:type="pct"/>
            <w:vAlign w:val="center"/>
          </w:tcPr>
          <w:p w:rsidR="0091008F" w:rsidRDefault="00AC1422" w:rsidP="001B3C83">
            <w:pPr>
              <w:jc w:val="center"/>
              <w:rPr>
                <w:rFonts w:ascii="ＭＳ 明朝" w:eastAsia="ＭＳ 明朝" w:hAnsi="ＭＳ 明朝"/>
                <w:sz w:val="18"/>
              </w:rPr>
            </w:pPr>
            <w:r>
              <w:rPr>
                <w:rFonts w:ascii="ＭＳ 明朝" w:eastAsia="ＭＳ 明朝" w:hAnsi="ＭＳ 明朝" w:hint="eastAsia"/>
                <w:sz w:val="18"/>
              </w:rPr>
              <w:lastRenderedPageBreak/>
              <w:t>8</w:t>
            </w:r>
          </w:p>
        </w:tc>
        <w:tc>
          <w:tcPr>
            <w:tcW w:w="1176"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tc>
        <w:tc>
          <w:tcPr>
            <w:tcW w:w="3594"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tc>
      </w:tr>
    </w:tbl>
    <w:p w:rsidR="00737FDD" w:rsidRPr="005F4BCE"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9468E0" w:rsidP="009468E0">
      <w:pPr>
        <w:jc w:val="center"/>
        <w:rPr>
          <w:rFonts w:ascii="ＭＳ 明朝" w:eastAsia="ＭＳ 明朝" w:hAnsi="ＭＳ 明朝"/>
          <w:b/>
        </w:rPr>
      </w:pPr>
      <w:r>
        <w:rPr>
          <w:noProof/>
        </w:rPr>
        <w:drawing>
          <wp:inline distT="0" distB="0" distL="0" distR="0" wp14:anchorId="21628567" wp14:editId="75B76C21">
            <wp:extent cx="4791456" cy="323967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165" t="20214" r="23865" b="14914"/>
                    <a:stretch/>
                  </pic:blipFill>
                  <pic:spPr bwMode="auto">
                    <a:xfrm>
                      <a:off x="0" y="0"/>
                      <a:ext cx="4791599" cy="323977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BB7" w:rsidRDefault="00540BB7" w:rsidP="001063DE">
      <w:r>
        <w:separator/>
      </w:r>
    </w:p>
  </w:endnote>
  <w:endnote w:type="continuationSeparator" w:id="0">
    <w:p w:rsidR="00540BB7" w:rsidRDefault="00540BB7"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r>
      <w:fldChar w:fldCharType="begin"/>
    </w:r>
    <w:r>
      <w:instrText>PAGE   \* MERGEFORMAT</w:instrText>
    </w:r>
    <w:r>
      <w:fldChar w:fldCharType="separate"/>
    </w:r>
    <w:r w:rsidR="00262459" w:rsidRPr="00262459">
      <w:rPr>
        <w:noProof/>
        <w:lang w:val="ja-JP"/>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BB7" w:rsidRDefault="00540BB7" w:rsidP="001063DE">
      <w:r>
        <w:separator/>
      </w:r>
    </w:p>
  </w:footnote>
  <w:footnote w:type="continuationSeparator" w:id="0">
    <w:p w:rsidR="00540BB7" w:rsidRDefault="00540BB7"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56A6E"/>
    <w:rsid w:val="00262459"/>
    <w:rsid w:val="002E48BB"/>
    <w:rsid w:val="003040D3"/>
    <w:rsid w:val="00370E0C"/>
    <w:rsid w:val="003D487D"/>
    <w:rsid w:val="00403760"/>
    <w:rsid w:val="0040469D"/>
    <w:rsid w:val="00425931"/>
    <w:rsid w:val="004803E2"/>
    <w:rsid w:val="004B3821"/>
    <w:rsid w:val="004E0D7B"/>
    <w:rsid w:val="004E6FBC"/>
    <w:rsid w:val="00540BB7"/>
    <w:rsid w:val="005B7F14"/>
    <w:rsid w:val="005C0413"/>
    <w:rsid w:val="005D7085"/>
    <w:rsid w:val="005F4BCE"/>
    <w:rsid w:val="00670531"/>
    <w:rsid w:val="007169EF"/>
    <w:rsid w:val="00734DDA"/>
    <w:rsid w:val="00737FDD"/>
    <w:rsid w:val="007A55F2"/>
    <w:rsid w:val="00840611"/>
    <w:rsid w:val="00860692"/>
    <w:rsid w:val="00887032"/>
    <w:rsid w:val="008D20CD"/>
    <w:rsid w:val="008D21B9"/>
    <w:rsid w:val="009065EC"/>
    <w:rsid w:val="0091008F"/>
    <w:rsid w:val="0091131B"/>
    <w:rsid w:val="00935201"/>
    <w:rsid w:val="009468E0"/>
    <w:rsid w:val="00992712"/>
    <w:rsid w:val="00997F62"/>
    <w:rsid w:val="009A7CF6"/>
    <w:rsid w:val="009C2AD7"/>
    <w:rsid w:val="009E7EB2"/>
    <w:rsid w:val="009F38E6"/>
    <w:rsid w:val="00A85221"/>
    <w:rsid w:val="00AA00BF"/>
    <w:rsid w:val="00AC1422"/>
    <w:rsid w:val="00AE6423"/>
    <w:rsid w:val="00AF4F94"/>
    <w:rsid w:val="00B5011F"/>
    <w:rsid w:val="00BB0203"/>
    <w:rsid w:val="00BD0262"/>
    <w:rsid w:val="00C1493D"/>
    <w:rsid w:val="00C42876"/>
    <w:rsid w:val="00CF5B87"/>
    <w:rsid w:val="00D06C03"/>
    <w:rsid w:val="00D337EC"/>
    <w:rsid w:val="00D82E64"/>
    <w:rsid w:val="00D9259A"/>
    <w:rsid w:val="00E11EAC"/>
    <w:rsid w:val="00E74DCD"/>
    <w:rsid w:val="00F106E5"/>
    <w:rsid w:val="00F4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8F90-16EC-46C3-B277-6687FAA3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1089</Words>
  <Characters>6213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40</cp:revision>
  <dcterms:created xsi:type="dcterms:W3CDTF">2021-10-14T02:05:00Z</dcterms:created>
  <dcterms:modified xsi:type="dcterms:W3CDTF">2021-10-28T00:42:00Z</dcterms:modified>
</cp:coreProperties>
</file>