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pStyle w:val="Title"/>
      </w:pPr>
      <w:r>
        <w:t xml:space="preserve">TRUE TRUST PROTOCOL</w:t>
      </w:r>
    </w:p>
    <w:p/>
    <w:p>
      <w:pPr>
        <w:spacing w:after="200"/>
        <w:jc w:val="center"/>
      </w:pPr>
      <w:r>
        <w:rPr>
          <w:i/>
          <w:iCs/>
          <w:sz w:val="28"/>
          <w:szCs w:val="28"/>
        </w:rPr>
        <w:t xml:space="preserve">A Post-Quantum Secure Blockchain with Complete Transaction Privacy</w:t>
      </w:r>
    </w:p>
    <w:p/>
    <w:p/>
    <w:p>
      <w:pPr>
        <w:spacing w:after="200"/>
        <w:jc w:val="center"/>
      </w:pPr>
      <w:r>
        <w:rPr>
          <w:sz w:val="24"/>
          <w:szCs w:val="24"/>
        </w:rPr>
        <w:t xml:space="preserve">White Paper v1.0</w:t>
      </w:r>
    </w:p>
    <w:p>
      <w:pPr>
        <w:spacing w:after="200"/>
        <w:jc w:val="center"/>
      </w:pPr>
      <w:r>
        <w:rPr>
          <w:sz w:val="24"/>
          <w:szCs w:val="24"/>
        </w:rPr>
        <w:t xml:space="preserve">November 2025</w:t>
      </w:r>
    </w:p>
    <w:p/>
    <w:p/>
    <w:p/>
    <w:p>
      <w:pPr>
        <w:spacing w:after="200"/>
        <w:jc w:val="center"/>
      </w:pPr>
      <w:r>
        <w:rPr>
          <w:b/>
          <w:bCs/>
          <w:sz w:val="28"/>
          <w:szCs w:val="28"/>
        </w:rPr>
        <w:t xml:space="preserve">Abstract</w:t>
      </w:r>
    </w:p>
    <w:p/>
    <w:p>
      <w:pPr>
        <w:spacing w:after="200"/>
        <w:jc w:val="both"/>
      </w:pPr>
      <w:r>
        <w:rPr>
          <w:sz w:val="24"/>
          <w:szCs w:val="24"/>
        </w:rPr>
        <w:t xml:space="preserve">True Trust Protocol (TTP) is a next-generation blockchain designed for the post-quantum era. As quantum computers advance toward cryptographic relevance, traditional blockchain systems face existential threats to their security foundations. TTP addresses this challenge by combining NIST-standardized post-quantum cryptographic primitives with zero-knowledge STARK proofs to deliver complete transaction privacy while maintaining full verifiability.</w:t>
      </w:r>
    </w:p>
    <w:p>
      <w:pPr>
        <w:spacing w:after="200"/>
        <w:jc w:val="both"/>
      </w:pPr>
      <w:r>
        <w:rPr>
          <w:sz w:val="24"/>
          <w:szCs w:val="24"/>
        </w:rPr>
        <w:t xml:space="preserve">The protocol introduces several key innovations: Falcon-512 signatures and Kyber-768 key encapsulation for quantum-resistant security; Poseidon-based commitments with STARK range proofs for confidential amounts; stealth addresses with encrypted sender identities for transaction unlinkability; and a novel Proof-of-Reputation (PRO) consensus mechanism that selects validators based on trust, quality, and stake. With full privacy transactions at approximately 35KB and lightweight stealth transactions at under 2KB, TTP demonstrates that post-quantum security and transaction confidentiality can coexist with practical blockchain performance.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The Quantum Threat</w:t>
      </w:r>
    </w:p>
    <w:p>
      <w:pPr>
        <w:spacing w:after="200"/>
        <w:jc w:val="both"/>
      </w:pPr>
      <w:r>
        <w:rPr>
          <w:sz w:val="24"/>
          <w:szCs w:val="24"/>
        </w:rPr>
        <w:t xml:space="preserve">The emergence of quantum computing poses an unprecedented threat to the cryptographic foundations of modern blockchain systems. Shor's algorithm, when executed on a sufficiently powerful quantum computer, can efficiently solve the discrete logarithm and integer factorization problems that underpin ECDSA signatures and RSA encryption. Current estimates suggest that cryptographically relevant quantum computers (CRQC) capable of breaking 256-bit elliptic curve cryptography could emerge within 10-15 years.</w:t>
      </w:r>
    </w:p>
    <w:p>
      <w:pPr>
        <w:spacing w:after="200"/>
        <w:jc w:val="both"/>
      </w:pPr>
      <w:r>
        <w:rPr>
          <w:sz w:val="24"/>
          <w:szCs w:val="24"/>
        </w:rPr>
        <w:t xml:space="preserve">For blockchain systems, this threat is particularly acute due to the "harvest now, decrypt later" attack vector. Adversaries can record encrypted transactions and public keys today, waiting for quantum computers to become available to retroactively compromise historical data. This means that blockchain systems must transition to post-quantum cryptography well before quantum computers achieve cryptographic relevance.</w:t>
      </w:r>
    </w:p>
    <w:p>
      <w:pPr>
        <w:pStyle w:val="Heading2"/>
      </w:pPr>
      <w:r>
        <w:t xml:space="preserve">1.2 The Privacy Imperative</w:t>
      </w:r>
    </w:p>
    <w:p>
      <w:pPr>
        <w:spacing w:after="200"/>
        <w:jc w:val="both"/>
      </w:pPr>
      <w:r>
        <w:rPr>
          <w:sz w:val="24"/>
          <w:szCs w:val="24"/>
        </w:rPr>
        <w:t xml:space="preserve">Traditional blockchain systems suffer from inherent privacy limitations. Bitcoin and similar cryptocurrencies expose transaction graphs that enable sophisticated chain analysis, allowing observers to link addresses, track fund flows, and deanonymize users. Even systems designed with privacy features often provide incomplete protection, leaving metadata exposed or relying on trusted setup ceremonies that introduce potential vulnerabilities.</w:t>
      </w:r>
    </w:p>
    <w:p>
      <w:pPr>
        <w:spacing w:after="200"/>
        <w:jc w:val="both"/>
      </w:pPr>
      <w:r>
        <w:rPr>
          <w:sz w:val="24"/>
          <w:szCs w:val="24"/>
        </w:rPr>
        <w:t xml:space="preserve">True Trust Protocol addresses these challenges by providing comprehensive transaction privacy that hides sender identity, recipient identity, and transaction amounts while maintaining full verifiability through zero-knowledge proofs.</w:t>
      </w:r>
    </w:p>
    <w:p>
      <w:pPr>
        <w:pStyle w:val="Heading2"/>
      </w:pPr>
      <w:r>
        <w:t xml:space="preserve">1.3 Design Goals</w:t>
      </w:r>
    </w:p>
    <w:p>
      <w:pPr>
        <w:pStyle w:val="ListParagraph"/>
        <w:numPr>
          <w:ilvl w:val="0"/>
          <w:numId w:val="2"/>
        </w:numPr>
      </w:pPr>
      <w:r>
        <w:rPr>
          <w:b/>
          <w:bCs/>
        </w:rPr>
        <w:t xml:space="preserve">Post-Quantum Security: </w:t>
      </w:r>
      <w:r>
        <w:t xml:space="preserve">All cryptographic primitives must be resistant to attacks by both classical and quantum computers</w:t>
      </w:r>
    </w:p>
    <w:p>
      <w:pPr>
        <w:pStyle w:val="ListParagraph"/>
        <w:numPr>
          <w:ilvl w:val="0"/>
          <w:numId w:val="2"/>
        </w:numPr>
      </w:pPr>
      <w:r>
        <w:rPr>
          <w:b/>
          <w:bCs/>
        </w:rPr>
        <w:t xml:space="preserve">Complete Privacy: </w:t>
      </w:r>
      <w:r>
        <w:t xml:space="preserve">Transaction sender, recipient, and amount must be hidden from external observers</w:t>
      </w:r>
    </w:p>
    <w:p>
      <w:pPr>
        <w:pStyle w:val="ListParagraph"/>
        <w:numPr>
          <w:ilvl w:val="0"/>
          <w:numId w:val="2"/>
        </w:numPr>
      </w:pPr>
      <w:r>
        <w:rPr>
          <w:b/>
          <w:bCs/>
        </w:rPr>
        <w:t xml:space="preserve">Transparent Proofs: </w:t>
      </w:r>
      <w:r>
        <w:t xml:space="preserve">No trusted setup ceremonies that could introduce backdoors or require trust assumptions</w:t>
      </w:r>
    </w:p>
    <w:p>
      <w:pPr>
        <w:pStyle w:val="ListParagraph"/>
        <w:numPr>
          <w:ilvl w:val="0"/>
          <w:numId w:val="2"/>
        </w:numPr>
      </w:pPr>
      <w:r>
        <w:rPr>
          <w:b/>
          <w:bCs/>
        </w:rPr>
        <w:t xml:space="preserve">Practical Performance: </w:t>
      </w:r>
      <w:r>
        <w:t xml:space="preserve">Full privacy transaction creation under 50ms, verification under 1ms</w:t>
      </w:r>
    </w:p>
    <w:p>
      <w:pPr>
        <w:pStyle w:val="ListParagraph"/>
        <w:numPr>
          <w:ilvl w:val="0"/>
          <w:numId w:val="2"/>
        </w:numPr>
      </w:pPr>
      <w:r>
        <w:rPr>
          <w:b/>
          <w:bCs/>
        </w:rPr>
        <w:t xml:space="preserve">Auditability: </w:t>
      </w:r>
      <w:r>
        <w:t xml:space="preserve">Optional view keys enable regulatory compliance without compromising privacy for other users</w:t>
      </w:r>
    </w:p>
    <w:p>
      <w:r>
        <w:br w:type="page"/>
      </w:r>
    </w:p>
    <w:p>
      <w:pPr>
        <w:pStyle w:val="Heading1"/>
      </w:pPr>
      <w:r>
        <w:t xml:space="preserve">2. Cryptographic Primitives</w:t>
      </w:r>
    </w:p>
    <w:p>
      <w:pPr>
        <w:pStyle w:val="Heading2"/>
      </w:pPr>
      <w:r>
        <w:t xml:space="preserve">2.1 Post-Quantum Algorithms</w:t>
      </w:r>
    </w:p>
    <w:p>
      <w:pPr>
        <w:spacing w:after="200"/>
        <w:jc w:val="both"/>
      </w:pPr>
      <w:r>
        <w:rPr>
          <w:sz w:val="24"/>
          <w:szCs w:val="24"/>
        </w:rPr>
        <w:t xml:space="preserve">True Trust Protocol exclusively uses NIST-standardized post-quantum cryptographic algorithms, ensuring long-term security against both classical and quantum adversaries.</w:t>
      </w:r>
    </w:p>
    <w:p>
      <w:pPr>
        <w:pStyle w:val="Heading3"/>
      </w:pPr>
      <w:r>
        <w:t xml:space="preserve">2.1.1 Falcon-512 Digital Signatures</w:t>
      </w:r>
    </w:p>
    <w:p>
      <w:pPr>
        <w:spacing w:after="200"/>
        <w:jc w:val="both"/>
      </w:pPr>
      <w:r>
        <w:rPr>
          <w:sz w:val="24"/>
          <w:szCs w:val="24"/>
        </w:rPr>
        <w:t xml:space="preserve">Falcon is a lattice-based signature scheme selected by NIST for standardization. It is based on the "hash-and-sign" paradigm using NTRU lattices and provides 128-bit post-quantum security. Falcon-512 offers the most compact signatures among NIST PQC finalists while maintaining efficient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Parameter</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Falcon-512</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ECDSA (secp256k1)</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Public Key Size</w:t>
            </w:r>
          </w:p>
        </w:tc>
        <w:tc>
          <w:tcPr>
            <w:tcW w:type="dxa" w:w="3120"/>
            <w:tcBorders>
              <w:top w:val="single" w:color="CCCCCC" w:sz="1"/>
              <w:left w:val="single" w:color="CCCCCC" w:sz="1"/>
              <w:bottom w:val="single" w:color="CCCCCC" w:sz="1"/>
              <w:right w:val="single" w:color="CCCCCC" w:sz="1"/>
            </w:tcBorders>
          </w:tcPr>
          <w:p>
            <w:r>
              <w:rPr>
                <w:sz w:val="22"/>
                <w:szCs w:val="22"/>
              </w:rPr>
              <w:t xml:space="preserve">897 bytes</w:t>
            </w:r>
          </w:p>
        </w:tc>
        <w:tc>
          <w:tcPr>
            <w:tcW w:type="dxa" w:w="3120"/>
            <w:tcBorders>
              <w:top w:val="single" w:color="CCCCCC" w:sz="1"/>
              <w:left w:val="single" w:color="CCCCCC" w:sz="1"/>
              <w:bottom w:val="single" w:color="CCCCCC" w:sz="1"/>
              <w:right w:val="single" w:color="CCCCCC" w:sz="1"/>
            </w:tcBorders>
          </w:tcPr>
          <w:p>
            <w:r>
              <w:rPr>
                <w:sz w:val="22"/>
                <w:szCs w:val="22"/>
              </w:rPr>
              <w:t xml:space="preserve">33 bytes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Signature Size</w:t>
            </w:r>
          </w:p>
        </w:tc>
        <w:tc>
          <w:tcPr>
            <w:tcW w:type="dxa" w:w="3120"/>
            <w:tcBorders>
              <w:top w:val="single" w:color="CCCCCC" w:sz="1"/>
              <w:left w:val="single" w:color="CCCCCC" w:sz="1"/>
              <w:bottom w:val="single" w:color="CCCCCC" w:sz="1"/>
              <w:right w:val="single" w:color="CCCCCC" w:sz="1"/>
            </w:tcBorders>
          </w:tcPr>
          <w:p>
            <w:r>
              <w:rPr>
                <w:sz w:val="22"/>
                <w:szCs w:val="22"/>
              </w:rPr>
              <w:t xml:space="preserve">~666 bytes</w:t>
            </w:r>
          </w:p>
        </w:tc>
        <w:tc>
          <w:tcPr>
            <w:tcW w:type="dxa" w:w="3120"/>
            <w:tcBorders>
              <w:top w:val="single" w:color="CCCCCC" w:sz="1"/>
              <w:left w:val="single" w:color="CCCCCC" w:sz="1"/>
              <w:bottom w:val="single" w:color="CCCCCC" w:sz="1"/>
              <w:right w:val="single" w:color="CCCCCC" w:sz="1"/>
            </w:tcBorders>
          </w:tcPr>
          <w:p>
            <w:r>
              <w:rPr>
                <w:sz w:val="22"/>
                <w:szCs w:val="22"/>
              </w:rPr>
              <w:t xml:space="preserve">64 bytes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Security Level</w:t>
            </w:r>
          </w:p>
        </w:tc>
        <w:tc>
          <w:tcPr>
            <w:tcW w:type="dxa" w:w="3120"/>
            <w:tcBorders>
              <w:top w:val="single" w:color="CCCCCC" w:sz="1"/>
              <w:left w:val="single" w:color="CCCCCC" w:sz="1"/>
              <w:bottom w:val="single" w:color="CCCCCC" w:sz="1"/>
              <w:right w:val="single" w:color="CCCCCC" w:sz="1"/>
            </w:tcBorders>
          </w:tcPr>
          <w:p>
            <w:r>
              <w:rPr>
                <w:sz w:val="22"/>
                <w:szCs w:val="22"/>
              </w:rPr>
              <w:t xml:space="preserve">128-bit PQ</w:t>
            </w:r>
          </w:p>
        </w:tc>
        <w:tc>
          <w:tcPr>
            <w:tcW w:type="dxa" w:w="3120"/>
            <w:tcBorders>
              <w:top w:val="single" w:color="CCCCCC" w:sz="1"/>
              <w:left w:val="single" w:color="CCCCCC" w:sz="1"/>
              <w:bottom w:val="single" w:color="CCCCCC" w:sz="1"/>
              <w:right w:val="single" w:color="CCCCCC" w:sz="1"/>
            </w:tcBorders>
          </w:tcPr>
          <w:p>
            <w:r>
              <w:rPr>
                <w:sz w:val="22"/>
                <w:szCs w:val="22"/>
              </w:rPr>
              <w:t xml:space="preserve">128-bit classical</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Quantum Resistant</w:t>
            </w:r>
          </w:p>
        </w:tc>
        <w:tc>
          <w:tcPr>
            <w:tcW w:type="dxa" w:w="3120"/>
            <w:tcBorders>
              <w:top w:val="single" w:color="CCCCCC" w:sz="1"/>
              <w:left w:val="single" w:color="CCCCCC" w:sz="1"/>
              <w:bottom w:val="single" w:color="CCCCCC" w:sz="1"/>
              <w:right w:val="single" w:color="CCCCCC" w:sz="1"/>
            </w:tcBorders>
          </w:tcPr>
          <w:p>
            <w:r>
              <w:rPr>
                <w:sz w:val="22"/>
                <w:szCs w:val="22"/>
              </w:rPr>
              <w:t xml:space="preserve">Yes</w:t>
            </w:r>
          </w:p>
        </w:tc>
        <w:tc>
          <w:tcPr>
            <w:tcW w:type="dxa" w:w="3120"/>
            <w:tcBorders>
              <w:top w:val="single" w:color="CCCCCC" w:sz="1"/>
              <w:left w:val="single" w:color="CCCCCC" w:sz="1"/>
              <w:bottom w:val="single" w:color="CCCCCC" w:sz="1"/>
              <w:right w:val="single" w:color="CCCCCC" w:sz="1"/>
            </w:tcBorders>
          </w:tcPr>
          <w:p>
            <w:r>
              <w:rPr>
                <w:sz w:val="22"/>
                <w:szCs w:val="22"/>
              </w:rPr>
              <w:t xml:space="preserve">No</w:t>
            </w:r>
          </w:p>
        </w:tc>
      </w:tr>
    </w:tbl>
    <w:p/>
    <w:p>
      <w:pPr>
        <w:pStyle w:val="Heading3"/>
      </w:pPr>
      <w:r>
        <w:t xml:space="preserve">2.1.2 Kyber-768 Key Encapsulation</w:t>
      </w:r>
    </w:p>
    <w:p>
      <w:pPr>
        <w:spacing w:after="200"/>
        <w:jc w:val="both"/>
      </w:pPr>
      <w:r>
        <w:rPr>
          <w:sz w:val="24"/>
          <w:szCs w:val="24"/>
        </w:rPr>
        <w:t xml:space="preserve">Kyber (ML-KEM) is a lattice-based key encapsulation mechanism standardized by NIST. It enables secure key exchange resistant to quantum attacks and forms the foundation of TTP's stealth address system. Kyber-768 provides 128-bit post-quantum security with excellent performance characteristics.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Parameter</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Kyber-768</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X25519</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Public Key Size</w:t>
            </w:r>
          </w:p>
        </w:tc>
        <w:tc>
          <w:tcPr>
            <w:tcW w:type="dxa" w:w="3120"/>
            <w:tcBorders>
              <w:top w:val="single" w:color="CCCCCC" w:sz="1"/>
              <w:left w:val="single" w:color="CCCCCC" w:sz="1"/>
              <w:bottom w:val="single" w:color="CCCCCC" w:sz="1"/>
              <w:right w:val="single" w:color="CCCCCC" w:sz="1"/>
            </w:tcBorders>
          </w:tcPr>
          <w:p>
            <w:r>
              <w:rPr>
                <w:sz w:val="22"/>
                <w:szCs w:val="22"/>
              </w:rPr>
              <w:t xml:space="preserve">1,184 bytes</w:t>
            </w:r>
          </w:p>
        </w:tc>
        <w:tc>
          <w:tcPr>
            <w:tcW w:type="dxa" w:w="3120"/>
            <w:tcBorders>
              <w:top w:val="single" w:color="CCCCCC" w:sz="1"/>
              <w:left w:val="single" w:color="CCCCCC" w:sz="1"/>
              <w:bottom w:val="single" w:color="CCCCCC" w:sz="1"/>
              <w:right w:val="single" w:color="CCCCCC" w:sz="1"/>
            </w:tcBorders>
          </w:tcPr>
          <w:p>
            <w:r>
              <w:rPr>
                <w:sz w:val="22"/>
                <w:szCs w:val="22"/>
              </w:rPr>
              <w:t xml:space="preserve">32 bytes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Ciphertext Size</w:t>
            </w:r>
          </w:p>
        </w:tc>
        <w:tc>
          <w:tcPr>
            <w:tcW w:type="dxa" w:w="3120"/>
            <w:tcBorders>
              <w:top w:val="single" w:color="CCCCCC" w:sz="1"/>
              <w:left w:val="single" w:color="CCCCCC" w:sz="1"/>
              <w:bottom w:val="single" w:color="CCCCCC" w:sz="1"/>
              <w:right w:val="single" w:color="CCCCCC" w:sz="1"/>
            </w:tcBorders>
          </w:tcPr>
          <w:p>
            <w:r>
              <w:rPr>
                <w:sz w:val="22"/>
                <w:szCs w:val="22"/>
              </w:rPr>
              <w:t xml:space="preserve">1,088 bytes</w:t>
            </w:r>
          </w:p>
        </w:tc>
        <w:tc>
          <w:tcPr>
            <w:tcW w:type="dxa" w:w="3120"/>
            <w:tcBorders>
              <w:top w:val="single" w:color="CCCCCC" w:sz="1"/>
              <w:left w:val="single" w:color="CCCCCC" w:sz="1"/>
              <w:bottom w:val="single" w:color="CCCCCC" w:sz="1"/>
              <w:right w:val="single" w:color="CCCCCC" w:sz="1"/>
            </w:tcBorders>
          </w:tcPr>
          <w:p>
            <w:r>
              <w:rPr>
                <w:sz w:val="22"/>
                <w:szCs w:val="22"/>
              </w:rPr>
              <w:t xml:space="preserve">32 bytes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Shared Secret</w:t>
            </w:r>
          </w:p>
        </w:tc>
        <w:tc>
          <w:tcPr>
            <w:tcW w:type="dxa" w:w="3120"/>
            <w:tcBorders>
              <w:top w:val="single" w:color="CCCCCC" w:sz="1"/>
              <w:left w:val="single" w:color="CCCCCC" w:sz="1"/>
              <w:bottom w:val="single" w:color="CCCCCC" w:sz="1"/>
              <w:right w:val="single" w:color="CCCCCC" w:sz="1"/>
            </w:tcBorders>
          </w:tcPr>
          <w:p>
            <w:r>
              <w:rPr>
                <w:sz w:val="22"/>
                <w:szCs w:val="22"/>
              </w:rPr>
              <w:t xml:space="preserve">32 bytes</w:t>
            </w:r>
          </w:p>
        </w:tc>
        <w:tc>
          <w:tcPr>
            <w:tcW w:type="dxa" w:w="3120"/>
            <w:tcBorders>
              <w:top w:val="single" w:color="CCCCCC" w:sz="1"/>
              <w:left w:val="single" w:color="CCCCCC" w:sz="1"/>
              <w:bottom w:val="single" w:color="CCCCCC" w:sz="1"/>
              <w:right w:val="single" w:color="CCCCCC" w:sz="1"/>
            </w:tcBorders>
          </w:tcPr>
          <w:p>
            <w:r>
              <w:rPr>
                <w:sz w:val="22"/>
                <w:szCs w:val="22"/>
              </w:rPr>
              <w:t xml:space="preserve">32 bytes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Quantum Resistant</w:t>
            </w:r>
          </w:p>
        </w:tc>
        <w:tc>
          <w:tcPr>
            <w:tcW w:type="dxa" w:w="3120"/>
            <w:tcBorders>
              <w:top w:val="single" w:color="CCCCCC" w:sz="1"/>
              <w:left w:val="single" w:color="CCCCCC" w:sz="1"/>
              <w:bottom w:val="single" w:color="CCCCCC" w:sz="1"/>
              <w:right w:val="single" w:color="CCCCCC" w:sz="1"/>
            </w:tcBorders>
          </w:tcPr>
          <w:p>
            <w:r>
              <w:rPr>
                <w:sz w:val="22"/>
                <w:szCs w:val="22"/>
              </w:rPr>
              <w:t xml:space="preserve">Yes</w:t>
            </w:r>
          </w:p>
        </w:tc>
        <w:tc>
          <w:tcPr>
            <w:tcW w:type="dxa" w:w="3120"/>
            <w:tcBorders>
              <w:top w:val="single" w:color="CCCCCC" w:sz="1"/>
              <w:left w:val="single" w:color="CCCCCC" w:sz="1"/>
              <w:bottom w:val="single" w:color="CCCCCC" w:sz="1"/>
              <w:right w:val="single" w:color="CCCCCC" w:sz="1"/>
            </w:tcBorders>
          </w:tcPr>
          <w:p>
            <w:r>
              <w:rPr>
                <w:sz w:val="22"/>
                <w:szCs w:val="22"/>
              </w:rPr>
              <w:t xml:space="preserve">No</w:t>
            </w:r>
          </w:p>
        </w:tc>
      </w:tr>
    </w:tbl>
    <w:p/>
    <w:p>
      <w:pPr>
        <w:pStyle w:val="Heading2"/>
      </w:pPr>
      <w:r>
        <w:t xml:space="preserve">2.2 Zero-Knowledge Proofs</w:t>
      </w:r>
    </w:p>
    <w:p>
      <w:pPr>
        <w:pStyle w:val="Heading3"/>
      </w:pPr>
      <w:r>
        <w:t xml:space="preserve">2.2.1 STARK Range Proofs</w:t>
      </w:r>
    </w:p>
    <w:p>
      <w:pPr>
        <w:spacing w:after="200"/>
        <w:jc w:val="both"/>
      </w:pPr>
      <w:r>
        <w:rPr>
          <w:sz w:val="24"/>
          <w:szCs w:val="24"/>
        </w:rPr>
        <w:t xml:space="preserve">TTP uses STARK (Scalable Transparent ARgument of Knowledge) proofs for range verification of confidential amounts. Unlike SNARKs, STARKs require no trusted setup and are based on hash functions, making them inherently post-quantum secure. The protocol uses the Winterfell library for STARK proof generation and verification.</w:t>
      </w:r>
    </w:p>
    <w:p>
      <w:pPr>
        <w:spacing w:after="200"/>
        <w:jc w:val="both"/>
      </w:pPr>
      <w:r>
        <w:rPr>
          <w:sz w:val="24"/>
          <w:szCs w:val="24"/>
        </w:rPr>
        <w:t xml:space="preserve">Range proofs demonstrate that a committed value lies within the valid range [0, 2^64) without revealing the actual value. This ensures that transaction amounts are non-negative and prevents overflow attacks while maintaining complete confidentiality.</w:t>
      </w:r>
    </w:p>
    <w:p>
      <w:pPr>
        <w:pStyle w:val="Heading3"/>
      </w:pPr>
      <w:r>
        <w:t xml:space="preserve">2.2.2 Poseidon Hash Function</w:t>
      </w:r>
    </w:p>
    <w:p>
      <w:pPr>
        <w:spacing w:after="200"/>
        <w:jc w:val="both"/>
      </w:pPr>
      <w:r>
        <w:rPr>
          <w:sz w:val="24"/>
          <w:szCs w:val="24"/>
        </w:rPr>
        <w:t xml:space="preserve">Poseidon is a cryptographic hash function specifically designed for zero-knowledge proof systems. It operates over prime fields and is optimized for arithmetic circuits, making it significantly more efficient than SHA-256 or Blake2 within ZK contexts. TTP uses Poseidon for commitment schemes and within STARK circuits.</w:t>
      </w:r>
    </w:p>
    <w:p>
      <w:pPr>
        <w:pStyle w:val="Heading2"/>
      </w:pPr>
      <w:r>
        <w:t xml:space="preserve">2.3 Symmetric Cryptography</w:t>
      </w:r>
    </w:p>
    <w:p>
      <w:pPr>
        <w:spacing w:after="200"/>
        <w:jc w:val="both"/>
      </w:pPr>
      <w:r>
        <w:rPr>
          <w:sz w:val="24"/>
          <w:szCs w:val="24"/>
        </w:rPr>
        <w:t xml:space="preserve">The protocol employs industry-standard symmetric cryptographic primitives that maintain security against quantum attacks when used with appropriate key sizes:</w:t>
      </w:r>
    </w:p>
    <w:p>
      <w:pPr>
        <w:pStyle w:val="ListParagraph"/>
        <w:numPr>
          <w:ilvl w:val="0"/>
          <w:numId w:val="2"/>
        </w:numPr>
      </w:pPr>
      <w:r>
        <w:rPr>
          <w:b/>
          <w:bCs/>
        </w:rPr>
        <w:t xml:space="preserve">AES-256-GCM: </w:t>
      </w:r>
      <w:r>
        <w:t xml:space="preserve">Authenticated encryption for sender identity protection</w:t>
      </w:r>
    </w:p>
    <w:p>
      <w:pPr>
        <w:pStyle w:val="ListParagraph"/>
        <w:numPr>
          <w:ilvl w:val="0"/>
          <w:numId w:val="2"/>
        </w:numPr>
      </w:pPr>
      <w:r>
        <w:rPr>
          <w:b/>
          <w:bCs/>
        </w:rPr>
        <w:t xml:space="preserve">XChaCha20-Poly1305: </w:t>
      </w:r>
      <w:r>
        <w:t xml:space="preserve">Amount encryption with extended nonce</w:t>
      </w:r>
    </w:p>
    <w:p>
      <w:pPr>
        <w:pStyle w:val="ListParagraph"/>
        <w:numPr>
          <w:ilvl w:val="0"/>
          <w:numId w:val="2"/>
        </w:numPr>
      </w:pPr>
      <w:r>
        <w:rPr>
          <w:b/>
          <w:bCs/>
        </w:rPr>
        <w:t xml:space="preserve">KMAC256: </w:t>
      </w:r>
      <w:r>
        <w:t xml:space="preserve">Key derivation following NIST SP 800-185</w:t>
      </w:r>
    </w:p>
    <w:p>
      <w:pPr>
        <w:pStyle w:val="ListParagraph"/>
        <w:numPr>
          <w:ilvl w:val="0"/>
          <w:numId w:val="2"/>
        </w:numPr>
      </w:pPr>
      <w:r>
        <w:rPr>
          <w:b/>
          <w:bCs/>
        </w:rPr>
        <w:t xml:space="preserve">SHAKE256: </w:t>
      </w:r>
      <w:r>
        <w:t xml:space="preserve">Extendable output function for deterministic derivation</w:t>
      </w:r>
    </w:p>
    <w:p>
      <w:r>
        <w:br w:type="page"/>
      </w:r>
    </w:p>
    <w:p>
      <w:pPr>
        <w:pStyle w:val="Heading1"/>
      </w:pPr>
      <w:r>
        <w:t xml:space="preserve">3. Transaction Architecture</w:t>
      </w:r>
    </w:p>
    <w:p>
      <w:pPr>
        <w:pStyle w:val="Heading2"/>
      </w:pPr>
      <w:r>
        <w:t xml:space="preserve">3.1 Transaction Types</w:t>
      </w:r>
    </w:p>
    <w:p>
      <w:pPr>
        <w:spacing w:after="200"/>
        <w:jc w:val="both"/>
      </w:pPr>
      <w:r>
        <w:rPr>
          <w:sz w:val="24"/>
          <w:szCs w:val="24"/>
        </w:rPr>
        <w:t xml:space="preserve">TTP supports multiple transaction types optimized for different use cases, allowing users to choose their preferred trade-off between privacy, size, and processing 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Transaction Type</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Size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Privacy Level</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Use Case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SimplePqTx</w:t>
            </w:r>
          </w:p>
        </w:tc>
        <w:tc>
          <w:tcPr>
            <w:tcW w:type="dxa" w:w="1560"/>
            <w:tcBorders>
              <w:top w:val="single" w:color="CCCCCC" w:sz="1"/>
              <w:left w:val="single" w:color="CCCCCC" w:sz="1"/>
              <w:bottom w:val="single" w:color="CCCCCC" w:sz="1"/>
              <w:right w:val="single" w:color="CCCCCC" w:sz="1"/>
            </w:tcBorders>
          </w:tcPr>
          <w:p>
            <w:r>
              <w:rPr>
                <w:sz w:val="22"/>
                <w:szCs w:val="22"/>
              </w:rPr>
              <w:t xml:space="preserve">~2.8 KB</w:t>
            </w:r>
          </w:p>
        </w:tc>
        <w:tc>
          <w:tcPr>
            <w:tcW w:type="dxa" w:w="2340"/>
            <w:tcBorders>
              <w:top w:val="single" w:color="CCCCCC" w:sz="1"/>
              <w:left w:val="single" w:color="CCCCCC" w:sz="1"/>
              <w:bottom w:val="single" w:color="CCCCCC" w:sz="1"/>
              <w:right w:val="single" w:color="CCCCCC" w:sz="1"/>
            </w:tcBorders>
          </w:tcPr>
          <w:p>
            <w:r>
              <w:rPr>
                <w:sz w:val="22"/>
                <w:szCs w:val="22"/>
              </w:rPr>
              <w:t xml:space="preserve">None</w:t>
            </w:r>
          </w:p>
        </w:tc>
        <w:tc>
          <w:tcPr>
            <w:tcW w:type="dxa" w:w="3120"/>
            <w:tcBorders>
              <w:top w:val="single" w:color="CCCCCC" w:sz="1"/>
              <w:left w:val="single" w:color="CCCCCC" w:sz="1"/>
              <w:bottom w:val="single" w:color="CCCCCC" w:sz="1"/>
              <w:right w:val="single" w:color="CCCCCC" w:sz="1"/>
            </w:tcBorders>
          </w:tcPr>
          <w:p>
            <w:r>
              <w:rPr>
                <w:sz w:val="22"/>
                <w:szCs w:val="22"/>
              </w:rPr>
              <w:t xml:space="preserve">Testing, public transfers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CompactSimpleTx</w:t>
            </w:r>
          </w:p>
        </w:tc>
        <w:tc>
          <w:tcPr>
            <w:tcW w:type="dxa" w:w="1560"/>
            <w:tcBorders>
              <w:top w:val="single" w:color="CCCCCC" w:sz="1"/>
              <w:left w:val="single" w:color="CCCCCC" w:sz="1"/>
              <w:bottom w:val="single" w:color="CCCCCC" w:sz="1"/>
              <w:right w:val="single" w:color="CCCCCC" w:sz="1"/>
            </w:tcBorders>
          </w:tcPr>
          <w:p>
            <w:r>
              <w:rPr>
                <w:sz w:val="22"/>
                <w:szCs w:val="22"/>
              </w:rPr>
              <w:t xml:space="preserve">~0.8 KB</w:t>
            </w:r>
          </w:p>
        </w:tc>
        <w:tc>
          <w:tcPr>
            <w:tcW w:type="dxa" w:w="2340"/>
            <w:tcBorders>
              <w:top w:val="single" w:color="CCCCCC" w:sz="1"/>
              <w:left w:val="single" w:color="CCCCCC" w:sz="1"/>
              <w:bottom w:val="single" w:color="CCCCCC" w:sz="1"/>
              <w:right w:val="single" w:color="CCCCCC" w:sz="1"/>
            </w:tcBorders>
          </w:tcPr>
          <w:p>
            <w:r>
              <w:rPr>
                <w:sz w:val="22"/>
                <w:szCs w:val="22"/>
              </w:rPr>
              <w:t xml:space="preserve">None</w:t>
            </w:r>
          </w:p>
        </w:tc>
        <w:tc>
          <w:tcPr>
            <w:tcW w:type="dxa" w:w="3120"/>
            <w:tcBorders>
              <w:top w:val="single" w:color="CCCCCC" w:sz="1"/>
              <w:left w:val="single" w:color="CCCCCC" w:sz="1"/>
              <w:bottom w:val="single" w:color="CCCCCC" w:sz="1"/>
              <w:right w:val="single" w:color="CCCCCC" w:sz="1"/>
            </w:tcBorders>
          </w:tcPr>
          <w:p>
            <w:r>
              <w:rPr>
                <w:sz w:val="22"/>
                <w:szCs w:val="22"/>
              </w:rPr>
              <w:t xml:space="preserve">High-throughput, low fees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PrivateCompactTx</w:t>
            </w:r>
          </w:p>
        </w:tc>
        <w:tc>
          <w:tcPr>
            <w:tcW w:type="dxa" w:w="1560"/>
            <w:tcBorders>
              <w:top w:val="single" w:color="CCCCCC" w:sz="1"/>
              <w:left w:val="single" w:color="CCCCCC" w:sz="1"/>
              <w:bottom w:val="single" w:color="CCCCCC" w:sz="1"/>
              <w:right w:val="single" w:color="CCCCCC" w:sz="1"/>
            </w:tcBorders>
          </w:tcPr>
          <w:p>
            <w:r>
              <w:rPr>
                <w:sz w:val="22"/>
                <w:szCs w:val="22"/>
              </w:rPr>
              <w:t xml:space="preserve">~1.9 KB</w:t>
            </w:r>
          </w:p>
        </w:tc>
        <w:tc>
          <w:tcPr>
            <w:tcW w:type="dxa" w:w="2340"/>
            <w:tcBorders>
              <w:top w:val="single" w:color="CCCCCC" w:sz="1"/>
              <w:left w:val="single" w:color="CCCCCC" w:sz="1"/>
              <w:bottom w:val="single" w:color="CCCCCC" w:sz="1"/>
              <w:right w:val="single" w:color="CCCCCC" w:sz="1"/>
            </w:tcBorders>
          </w:tcPr>
          <w:p>
            <w:r>
              <w:rPr>
                <w:sz w:val="22"/>
                <w:szCs w:val="22"/>
              </w:rPr>
              <w:t xml:space="preserve">Sender/Recipient hidden</w:t>
            </w:r>
          </w:p>
        </w:tc>
        <w:tc>
          <w:tcPr>
            <w:tcW w:type="dxa" w:w="3120"/>
            <w:tcBorders>
              <w:top w:val="single" w:color="CCCCCC" w:sz="1"/>
              <w:left w:val="single" w:color="CCCCCC" w:sz="1"/>
              <w:bottom w:val="single" w:color="CCCCCC" w:sz="1"/>
              <w:right w:val="single" w:color="CCCCCC" w:sz="1"/>
            </w:tcBorders>
          </w:tcPr>
          <w:p>
            <w:r>
              <w:rPr>
                <w:sz w:val="22"/>
                <w:szCs w:val="22"/>
              </w:rPr>
              <w:t xml:space="preserve">Privacy without ZK overhead</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PrivateStarkTx</w:t>
            </w:r>
          </w:p>
        </w:tc>
        <w:tc>
          <w:tcPr>
            <w:tcW w:type="dxa" w:w="1560"/>
            <w:tcBorders>
              <w:top w:val="single" w:color="CCCCCC" w:sz="1"/>
              <w:left w:val="single" w:color="CCCCCC" w:sz="1"/>
              <w:bottom w:val="single" w:color="CCCCCC" w:sz="1"/>
              <w:right w:val="single" w:color="CCCCCC" w:sz="1"/>
            </w:tcBorders>
          </w:tcPr>
          <w:p>
            <w:r>
              <w:rPr>
                <w:sz w:val="22"/>
                <w:szCs w:val="22"/>
              </w:rPr>
              <w:t xml:space="preserve">~35 KB</w:t>
            </w:r>
          </w:p>
        </w:tc>
        <w:tc>
          <w:tcPr>
            <w:tcW w:type="dxa" w:w="2340"/>
            <w:tcBorders>
              <w:top w:val="single" w:color="CCCCCC" w:sz="1"/>
              <w:left w:val="single" w:color="CCCCCC" w:sz="1"/>
              <w:bottom w:val="single" w:color="CCCCCC" w:sz="1"/>
              <w:right w:val="single" w:color="CCCCCC" w:sz="1"/>
            </w:tcBorders>
          </w:tcPr>
          <w:p>
            <w:r>
              <w:rPr>
                <w:sz w:val="22"/>
                <w:szCs w:val="22"/>
              </w:rPr>
              <w:t xml:space="preserve">Full (amount hidden)</w:t>
            </w:r>
          </w:p>
        </w:tc>
        <w:tc>
          <w:tcPr>
            <w:tcW w:type="dxa" w:w="3120"/>
            <w:tcBorders>
              <w:top w:val="single" w:color="CCCCCC" w:sz="1"/>
              <w:left w:val="single" w:color="CCCCCC" w:sz="1"/>
              <w:bottom w:val="single" w:color="CCCCCC" w:sz="1"/>
              <w:right w:val="single" w:color="CCCCCC" w:sz="1"/>
            </w:tcBorders>
          </w:tcPr>
          <w:p>
            <w:r>
              <w:rPr>
                <w:sz w:val="22"/>
                <w:szCs w:val="22"/>
              </w:rPr>
              <w:t xml:space="preserve">Maximum privacy</w:t>
            </w:r>
          </w:p>
        </w:tc>
      </w:tr>
    </w:tbl>
    <w:p/>
    <w:p>
      <w:pPr>
        <w:pStyle w:val="Heading2"/>
      </w:pPr>
      <w:r>
        <w:t xml:space="preserve">3.2 Private STARK Transaction Structure</w:t>
      </w:r>
    </w:p>
    <w:p>
      <w:pPr>
        <w:spacing w:after="200"/>
        <w:jc w:val="both"/>
      </w:pPr>
      <w:r>
        <w:rPr>
          <w:sz w:val="24"/>
          <w:szCs w:val="24"/>
        </w:rPr>
        <w:t xml:space="preserve">The PrivateStarkTx provides complete transaction privacy by combining stealth addresses, encrypted sender identity, and STARK-proven confidential amounts:</w:t>
      </w:r>
    </w:p>
    <w:p>
      <w:pPr>
        <w:pStyle w:val="Heading3"/>
      </w:pPr>
      <w:r>
        <w:t xml:space="preserve">3.2.1 Sender Component (48 bytes)</w:t>
      </w:r>
    </w:p>
    <w:p>
      <w:pPr>
        <w:spacing w:after="200"/>
        <w:jc w:val="both"/>
      </w:pPr>
      <w:r>
        <w:rPr>
          <w:sz w:val="24"/>
          <w:szCs w:val="24"/>
        </w:rPr>
        <w:t xml:space="preserve">The sender's change output uses a novel optimization: since the sender knows their own secret key, no KEM operation is required. Instead, the stealth key is derived deterministically from the sender's Kyber secret key and a nonce. This reduces the sender component from 1,128 bytes (with KEM) to just 48 bytes.</w:t>
      </w:r>
    </w:p>
    <w:p>
      <w:pPr>
        <w:pStyle w:val="Heading3"/>
      </w:pPr>
      <w:r>
        <w:t xml:space="preserve">3.2.2 Encrypted Sender Identity (60 bytes)</w:t>
      </w:r>
    </w:p>
    <w:p>
      <w:pPr>
        <w:spacing w:after="200"/>
        <w:jc w:val="both"/>
      </w:pPr>
      <w:r>
        <w:rPr>
          <w:sz w:val="24"/>
          <w:szCs w:val="24"/>
        </w:rPr>
        <w:t xml:space="preserve">The sender's master key ID is encrypted using AES-256-GCM with a key derived from the shared secret established with the recipient. Only the recipient can decrypt this field, enabling them to identify the sender for acknowledgment or dispute resolution while keeping the sender's identity hidden from external observers.</w:t>
      </w:r>
    </w:p>
    <w:p>
      <w:pPr>
        <w:pStyle w:val="Heading3"/>
      </w:pPr>
      <w:r>
        <w:t xml:space="preserve">3.2.3 Recipient Stealth Output (1,128 bytes)</w:t>
      </w:r>
    </w:p>
    <w:p>
      <w:pPr>
        <w:spacing w:after="200"/>
        <w:jc w:val="both"/>
      </w:pPr>
      <w:r>
        <w:rPr>
          <w:sz w:val="24"/>
          <w:szCs w:val="24"/>
        </w:rPr>
        <w:t xml:space="preserve">Each payment generates a fresh stealth address using Kyber KEM. The recipient can scan incoming transactions using their view key, checking the 8-byte view tag for quick filtering (eliminating ~95% of non-matching transactions) before performing the full KEM decapsulation.</w:t>
      </w:r>
    </w:p>
    <w:p>
      <w:pPr>
        <w:pStyle w:val="Heading3"/>
      </w:pPr>
      <w:r>
        <w:t xml:space="preserve">3.2.4 Confidential Amount (~32 KB)</w:t>
      </w:r>
    </w:p>
    <w:p>
      <w:pPr>
        <w:spacing w:after="200"/>
        <w:jc w:val="both"/>
      </w:pPr>
      <w:r>
        <w:rPr>
          <w:sz w:val="24"/>
          <w:szCs w:val="24"/>
        </w:rPr>
        <w:t xml:space="preserve">Transaction amounts are hidden using Poseidon commitments with STARK range proofs. The commitment binds to the value and a random blinding factor, while the STARK proof demonstrates the value is in the valid 64-bit range without revealing it. The encrypted amount is also included for the recipient to recover the actual value.</w:t>
      </w:r>
    </w:p>
    <w:p>
      <w:pPr>
        <w:pStyle w:val="Heading3"/>
      </w:pPr>
      <w:r>
        <w:t xml:space="preserve">3.2.5 Falcon Signature (~700 bytes)</w:t>
      </w:r>
    </w:p>
    <w:p>
      <w:pPr>
        <w:spacing w:after="200"/>
        <w:jc w:val="both"/>
      </w:pPr>
      <w:r>
        <w:rPr>
          <w:sz w:val="24"/>
          <w:szCs w:val="24"/>
        </w:rPr>
        <w:t xml:space="preserve">The transaction is signed using Falcon-512, providing post-quantum authentication. The signature covers all transaction components except the STARK proof (which is self-authenticating through its algebraic structure).</w:t>
      </w:r>
    </w:p>
    <w:p>
      <w:pPr>
        <w:pStyle w:val="Heading2"/>
      </w:pPr>
      <w:r>
        <w:t xml:space="preserve">3.3 Transaction Compression</w:t>
      </w:r>
    </w:p>
    <w:p>
      <w:pPr>
        <w:spacing w:after="200"/>
        <w:jc w:val="both"/>
      </w:pPr>
      <w:r>
        <w:rPr>
          <w:sz w:val="24"/>
          <w:szCs w:val="24"/>
        </w:rPr>
        <w:t xml:space="preserve">Non-STARK transaction components can be compressed using ZSTD for network transmission and storage. However, STARK proofs are cryptographically random-looking and do not benefit from compression. The ~33KB STARK proof is transmitted as-is, making PrivateStarkTx approximately 35KB total. For bandwidth-constrained scenarios, PrivateCompactTx offers a compelling alternative at only ~1.9KB with sender/recipient privacy but visible amounts.</w:t>
      </w:r>
    </w:p>
    <w:p>
      <w:r>
        <w:br w:type="page"/>
      </w:r>
    </w:p>
    <w:p>
      <w:pPr>
        <w:pStyle w:val="Heading1"/>
      </w:pPr>
      <w:r>
        <w:t xml:space="preserve">4. Privacy Model</w:t>
      </w:r>
    </w:p>
    <w:p>
      <w:pPr>
        <w:pStyle w:val="Heading2"/>
      </w:pPr>
      <w:r>
        <w:t xml:space="preserve">4.1 Threat Model</w:t>
      </w:r>
    </w:p>
    <w:p>
      <w:pPr>
        <w:spacing w:after="200"/>
        <w:jc w:val="both"/>
      </w:pPr>
      <w:r>
        <w:rPr>
          <w:sz w:val="24"/>
          <w:szCs w:val="24"/>
        </w:rPr>
        <w:t xml:space="preserve">TTP's privacy model protects against several classes of adversaries:</w:t>
      </w:r>
    </w:p>
    <w:p>
      <w:pPr>
        <w:pStyle w:val="ListParagraph"/>
        <w:numPr>
          <w:ilvl w:val="0"/>
          <w:numId w:val="2"/>
        </w:numPr>
      </w:pPr>
      <w:r>
        <w:rPr>
          <w:b/>
          <w:bCs/>
        </w:rPr>
        <w:t xml:space="preserve">Passive Network Observers: </w:t>
      </w:r>
      <w:r>
        <w:t xml:space="preserve">Cannot link transactions, identify participants, or determine amounts</w:t>
      </w:r>
    </w:p>
    <w:p>
      <w:pPr>
        <w:pStyle w:val="ListParagraph"/>
        <w:numPr>
          <w:ilvl w:val="0"/>
          <w:numId w:val="2"/>
        </w:numPr>
      </w:pPr>
      <w:r>
        <w:rPr>
          <w:b/>
          <w:bCs/>
        </w:rPr>
        <w:t xml:space="preserve">Blockchain Analysts: </w:t>
      </w:r>
      <w:r>
        <w:t xml:space="preserve">Cannot perform chain analysis due to stealth addresses and encrypted sender IDs</w:t>
      </w:r>
    </w:p>
    <w:p>
      <w:pPr>
        <w:pStyle w:val="ListParagraph"/>
        <w:numPr>
          <w:ilvl w:val="0"/>
          <w:numId w:val="2"/>
        </w:numPr>
      </w:pPr>
      <w:r>
        <w:rPr>
          <w:b/>
          <w:bCs/>
        </w:rPr>
        <w:t xml:space="preserve">Future Quantum Adversaries: </w:t>
      </w:r>
      <w:r>
        <w:t xml:space="preserve">Cannot break cryptography even with access to quantum computers</w:t>
      </w:r>
    </w:p>
    <w:p>
      <w:pPr>
        <w:pStyle w:val="ListParagraph"/>
        <w:numPr>
          <w:ilvl w:val="0"/>
          <w:numId w:val="2"/>
        </w:numPr>
      </w:pPr>
      <w:r>
        <w:rPr>
          <w:b/>
          <w:bCs/>
        </w:rPr>
        <w:t xml:space="preserve">Malicious Validators: </w:t>
      </w:r>
      <w:r>
        <w:t xml:space="preserve">Cannot learn private transaction details beyond what is publicly visible</w:t>
      </w:r>
    </w:p>
    <w:p>
      <w:pPr>
        <w:pStyle w:val="Heading2"/>
      </w:pPr>
      <w:r>
        <w:t xml:space="preserve">4.2 Stealth Address System</w:t>
      </w:r>
    </w:p>
    <w:p>
      <w:pPr>
        <w:spacing w:after="200"/>
        <w:jc w:val="both"/>
      </w:pPr>
      <w:r>
        <w:rPr>
          <w:sz w:val="24"/>
          <w:szCs w:val="24"/>
        </w:rPr>
        <w:t xml:space="preserve">Each user registers a master key pair consisting of Falcon (signing) and Kyber (scanning) public keys. When sending a payment, the sender generates a fresh stealth output by:</w:t>
      </w:r>
    </w:p>
    <w:p>
      <w:pPr>
        <w:pStyle w:val="ListParagraph"/>
        <w:numPr>
          <w:ilvl w:val="0"/>
          <w:numId w:val="3"/>
        </w:numPr>
      </w:pPr>
      <w:r>
        <w:t xml:space="preserve">Performing Kyber KEM encapsulation to the recipient's public key</w:t>
      </w:r>
    </w:p>
    <w:p>
      <w:pPr>
        <w:pStyle w:val="ListParagraph"/>
        <w:numPr>
          <w:ilvl w:val="0"/>
          <w:numId w:val="3"/>
        </w:numPr>
      </w:pPr>
      <w:r>
        <w:t xml:space="preserve">Deriving a stealth key from the shared secret using KMAC256</w:t>
      </w:r>
    </w:p>
    <w:p>
      <w:pPr>
        <w:pStyle w:val="ListParagraph"/>
        <w:numPr>
          <w:ilvl w:val="0"/>
          <w:numId w:val="3"/>
        </w:numPr>
      </w:pPr>
      <w:r>
        <w:t xml:space="preserve">Computing an 8-byte view tag for efficient scanning</w:t>
      </w:r>
    </w:p>
    <w:p>
      <w:pPr>
        <w:pStyle w:val="ListParagraph"/>
        <w:numPr>
          <w:ilvl w:val="0"/>
          <w:numId w:val="3"/>
        </w:numPr>
      </w:pPr>
      <w:r>
        <w:t xml:space="preserve">Including the KEM ciphertext for recipient decapsulation</w:t>
      </w:r>
    </w:p>
    <w:p>
      <w:pPr>
        <w:spacing w:after="200"/>
        <w:jc w:val="both"/>
      </w:pPr>
      <w:r>
        <w:rPr>
          <w:sz w:val="24"/>
          <w:szCs w:val="24"/>
        </w:rPr>
        <w:t xml:space="preserve">This ensures that each payment creates a unique, unlinkable output. Multiple payments to the same recipient appear completely unrelated to external observers.</w:t>
      </w:r>
    </w:p>
    <w:p>
      <w:pPr>
        <w:pStyle w:val="Heading2"/>
      </w:pPr>
      <w:r>
        <w:t xml:space="preserve">4.3 Sender Privacy</w:t>
      </w:r>
    </w:p>
    <w:p>
      <w:pPr>
        <w:spacing w:after="200"/>
        <w:jc w:val="both"/>
      </w:pPr>
      <w:r>
        <w:rPr>
          <w:sz w:val="24"/>
          <w:szCs w:val="24"/>
        </w:rPr>
        <w:t xml:space="preserve">Unlike many privacy systems that focus primarily on recipient privacy, TTP provides equally strong sender privacy. The sender's master key ID is encrypted under the recipient's key, meaning:</w:t>
      </w:r>
    </w:p>
    <w:p>
      <w:pPr>
        <w:pStyle w:val="ListParagraph"/>
        <w:numPr>
          <w:ilvl w:val="0"/>
          <w:numId w:val="2"/>
        </w:numPr>
      </w:pPr>
      <w:r>
        <w:t xml:space="preserve">External observers see only random ciphertext</w:t>
      </w:r>
    </w:p>
    <w:p>
      <w:pPr>
        <w:pStyle w:val="ListParagraph"/>
        <w:numPr>
          <w:ilvl w:val="0"/>
          <w:numId w:val="2"/>
        </w:numPr>
      </w:pPr>
      <w:r>
        <w:t xml:space="preserve">Multiple transactions from the same sender are unlinkable</w:t>
      </w:r>
    </w:p>
    <w:p>
      <w:pPr>
        <w:pStyle w:val="ListParagraph"/>
        <w:numPr>
          <w:ilvl w:val="0"/>
          <w:numId w:val="2"/>
        </w:numPr>
      </w:pPr>
      <w:r>
        <w:t xml:space="preserve">Only the intended recipient can identify the sender</w:t>
      </w:r>
    </w:p>
    <w:p>
      <w:pPr>
        <w:pStyle w:val="ListParagraph"/>
        <w:numPr>
          <w:ilvl w:val="0"/>
          <w:numId w:val="2"/>
        </w:numPr>
      </w:pPr>
      <w:r>
        <w:t xml:space="preserve">The sender's change output uses a different stealth key each time</w:t>
      </w:r>
    </w:p>
    <w:p>
      <w:pPr>
        <w:pStyle w:val="Heading2"/>
      </w:pPr>
      <w:r>
        <w:t xml:space="preserve">4.4 Confidential Amounts</w:t>
      </w:r>
    </w:p>
    <w:p>
      <w:pPr>
        <w:spacing w:after="200"/>
        <w:jc w:val="both"/>
      </w:pPr>
      <w:r>
        <w:rPr>
          <w:sz w:val="24"/>
          <w:szCs w:val="24"/>
        </w:rPr>
        <w:t xml:space="preserve">Transaction amounts are hidden using Poseidon commitments of the form C = Poseidon(v, r) where v is the value and r is a random blinding factor. The commitment is binding (the value cannot be changed) and hiding (the value cannot be determined from the commitment).</w:t>
      </w:r>
    </w:p>
    <w:p>
      <w:pPr>
        <w:spacing w:after="200"/>
        <w:jc w:val="both"/>
      </w:pPr>
      <w:r>
        <w:rPr>
          <w:sz w:val="24"/>
          <w:szCs w:val="24"/>
        </w:rPr>
        <w:t xml:space="preserve">To prevent negative values or overflow attacks, each commitment includes a STARK range proof demonstrating 0 ≤ v &lt; 2^64. The proof is verified by validators without learning the actual value.</w:t>
      </w:r>
    </w:p>
    <w:p>
      <w:pPr>
        <w:pStyle w:val="Heading2"/>
      </w:pPr>
      <w:r>
        <w:t xml:space="preserve">4.5 View Keys</w:t>
      </w:r>
    </w:p>
    <w:p>
      <w:pPr>
        <w:spacing w:after="200"/>
        <w:jc w:val="both"/>
      </w:pPr>
      <w:r>
        <w:rPr>
          <w:sz w:val="24"/>
          <w:szCs w:val="24"/>
        </w:rPr>
        <w:t xml:space="preserve">TTP implements a view key system similar to Monero, enabling selective transparency for auditing or compliance. A view key consists of the Kyber secret key (for scanning) without the Falcon secret key (for spending). View key holders can:</w:t>
      </w:r>
    </w:p>
    <w:p>
      <w:pPr>
        <w:pStyle w:val="ListParagraph"/>
        <w:numPr>
          <w:ilvl w:val="0"/>
          <w:numId w:val="2"/>
        </w:numPr>
      </w:pPr>
      <w:r>
        <w:t xml:space="preserve">Scan all incoming transactions to an address</w:t>
      </w:r>
    </w:p>
    <w:p>
      <w:pPr>
        <w:pStyle w:val="ListParagraph"/>
        <w:numPr>
          <w:ilvl w:val="0"/>
          <w:numId w:val="2"/>
        </w:numPr>
      </w:pPr>
      <w:r>
        <w:t xml:space="preserve">Decrypt transaction amounts</w:t>
      </w:r>
    </w:p>
    <w:p>
      <w:pPr>
        <w:pStyle w:val="ListParagraph"/>
        <w:numPr>
          <w:ilvl w:val="0"/>
          <w:numId w:val="2"/>
        </w:numPr>
      </w:pPr>
      <w:r>
        <w:t xml:space="preserve">Identify the sender of incoming transactions</w:t>
      </w:r>
    </w:p>
    <w:p>
      <w:pPr>
        <w:pStyle w:val="ListParagraph"/>
        <w:numPr>
          <w:ilvl w:val="0"/>
          <w:numId w:val="2"/>
        </w:numPr>
      </w:pPr>
      <w:r>
        <w:t xml:space="preserve">Verify outgoing transactions (sender's own)</w:t>
      </w:r>
    </w:p>
    <w:p>
      <w:pPr>
        <w:spacing w:after="200"/>
        <w:jc w:val="both"/>
      </w:pPr>
      <w:r>
        <w:rPr>
          <w:sz w:val="24"/>
          <w:szCs w:val="24"/>
        </w:rPr>
        <w:t xml:space="preserve">View keys cannot sign transactions or move funds, making them safe to share with auditors.</w:t>
      </w:r>
    </w:p>
    <w:p>
      <w:r>
        <w:br w:type="page"/>
      </w:r>
    </w:p>
    <w:p>
      <w:pPr>
        <w:pStyle w:val="Heading1"/>
      </w:pPr>
      <w:r>
        <w:t xml:space="preserve">5. Consensus Mechanism</w:t>
      </w:r>
    </w:p>
    <w:p>
      <w:pPr>
        <w:pStyle w:val="Heading2"/>
      </w:pPr>
      <w:r>
        <w:t xml:space="preserve">5.1 Proof-of-Reputation (PRO)</w:t>
      </w:r>
    </w:p>
    <w:p>
      <w:pPr>
        <w:spacing w:after="200"/>
        <w:jc w:val="both"/>
      </w:pPr>
      <w:r>
        <w:rPr>
          <w:sz w:val="24"/>
          <w:szCs w:val="24"/>
        </w:rPr>
        <w:t xml:space="preserve">TTP introduces the Proof-of-Reputation (PRO) consensus mechanism, which selects validators based on a combination of trust, quality, and stake. Unlike pure Proof-of-Stake systems that can lead to plutocracy, PRO ensures that validator selection considers historical behavior and service quality.</w:t>
      </w:r>
    </w:p>
    <w:p>
      <w:pPr>
        <w:pStyle w:val="Heading2"/>
      </w:pPr>
      <w:r>
        <w:t xml:space="preserve">5.2 Weight Formula</w:t>
      </w:r>
    </w:p>
    <w:p>
      <w:pPr>
        <w:spacing w:after="200"/>
        <w:jc w:val="both"/>
      </w:pPr>
      <w:r>
        <w:rPr>
          <w:sz w:val="24"/>
          <w:szCs w:val="24"/>
        </w:rPr>
        <w:t xml:space="preserve">Validator weight is computed using the formula:</w:t>
      </w:r>
    </w:p>
    <w:p>
      <w:pPr>
        <w:spacing w:after="200"/>
        <w:jc w:val="center"/>
      </w:pPr>
      <w:r>
        <w:rPr>
          <w:rFonts w:ascii="Courier New" w:cs="Courier New" w:eastAsia="Courier New" w:hAnsi="Courier New"/>
          <w:b/>
          <w:bCs/>
          <w:sz w:val="28"/>
          <w:szCs w:val="28"/>
        </w:rPr>
        <w:t xml:space="preserve">W = T^1.0 × Q^0.5 × S^0.8</w:t>
      </w:r>
    </w:p>
    <w:p>
      <w:pPr>
        <w:spacing w:after="200"/>
        <w:jc w:val="both"/>
      </w:pPr>
      <w:r>
        <w:rPr>
          <w:sz w:val="24"/>
          <w:szCs w:val="24"/>
        </w:rPr>
        <w:t xml:space="preserve">Where T is the Trust Score (0-1), Q is the Quality Score from the Golden Trio system, and S is the staked amount. The exponents are calibrated to ensure that stake alone cannot dominate selection, while still providing Sybil resistance.</w:t>
      </w:r>
    </w:p>
    <w:p>
      <w:pPr>
        <w:pStyle w:val="Heading2"/>
      </w:pPr>
      <w:r>
        <w:t xml:space="preserve">5.3 Golden Trio Quality System</w:t>
      </w:r>
    </w:p>
    <w:p>
      <w:pPr>
        <w:spacing w:after="200"/>
        <w:jc w:val="both"/>
      </w:pPr>
      <w:r>
        <w:rPr>
          <w:sz w:val="24"/>
          <w:szCs w:val="24"/>
        </w:rPr>
        <w:t xml:space="preserve">The Quality Score Q is computed from six components measuring validator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Component</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Weight</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Block Production</w:t>
            </w:r>
          </w:p>
        </w:tc>
        <w:tc>
          <w:tcPr>
            <w:tcW w:type="dxa" w:w="1560"/>
            <w:tcBorders>
              <w:top w:val="single" w:color="CCCCCC" w:sz="1"/>
              <w:left w:val="single" w:color="CCCCCC" w:sz="1"/>
              <w:bottom w:val="single" w:color="CCCCCC" w:sz="1"/>
              <w:right w:val="single" w:color="CCCCCC" w:sz="1"/>
            </w:tcBorders>
          </w:tcPr>
          <w:p>
            <w:r>
              <w:rPr>
                <w:sz w:val="22"/>
                <w:szCs w:val="22"/>
              </w:rPr>
              <w:t xml:space="preserve">25%</w:t>
            </w:r>
          </w:p>
        </w:tc>
        <w:tc>
          <w:tcPr>
            <w:tcW w:type="dxa" w:w="4680"/>
            <w:tcBorders>
              <w:top w:val="single" w:color="CCCCCC" w:sz="1"/>
              <w:left w:val="single" w:color="CCCCCC" w:sz="1"/>
              <w:bottom w:val="single" w:color="CCCCCC" w:sz="1"/>
              <w:right w:val="single" w:color="CCCCCC" w:sz="1"/>
            </w:tcBorders>
          </w:tcPr>
          <w:p>
            <w:r>
              <w:rPr>
                <w:sz w:val="22"/>
                <w:szCs w:val="22"/>
              </w:rPr>
              <w:t xml:space="preserve">Reliability in producing assigned blocks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Proof Generation</w:t>
            </w:r>
          </w:p>
        </w:tc>
        <w:tc>
          <w:tcPr>
            <w:tcW w:type="dxa" w:w="1560"/>
            <w:tcBorders>
              <w:top w:val="single" w:color="CCCCCC" w:sz="1"/>
              <w:left w:val="single" w:color="CCCCCC" w:sz="1"/>
              <w:bottom w:val="single" w:color="CCCCCC" w:sz="1"/>
              <w:right w:val="single" w:color="CCCCCC" w:sz="1"/>
            </w:tcBorders>
          </w:tcPr>
          <w:p>
            <w:r>
              <w:rPr>
                <w:sz w:val="22"/>
                <w:szCs w:val="22"/>
              </w:rPr>
              <w:t xml:space="preserve">25%</w:t>
            </w:r>
          </w:p>
        </w:tc>
        <w:tc>
          <w:tcPr>
            <w:tcW w:type="dxa" w:w="4680"/>
            <w:tcBorders>
              <w:top w:val="single" w:color="CCCCCC" w:sz="1"/>
              <w:left w:val="single" w:color="CCCCCC" w:sz="1"/>
              <w:bottom w:val="single" w:color="CCCCCC" w:sz="1"/>
              <w:right w:val="single" w:color="CCCCCC" w:sz="1"/>
            </w:tcBorders>
          </w:tcPr>
          <w:p>
            <w:r>
              <w:rPr>
                <w:sz w:val="22"/>
                <w:szCs w:val="22"/>
              </w:rPr>
              <w:t xml:space="preserve">Ability to generate valid STARK proofs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Uptime</w:t>
            </w:r>
          </w:p>
        </w:tc>
        <w:tc>
          <w:tcPr>
            <w:tcW w:type="dxa" w:w="1560"/>
            <w:tcBorders>
              <w:top w:val="single" w:color="CCCCCC" w:sz="1"/>
              <w:left w:val="single" w:color="CCCCCC" w:sz="1"/>
              <w:bottom w:val="single" w:color="CCCCCC" w:sz="1"/>
              <w:right w:val="single" w:color="CCCCCC" w:sz="1"/>
            </w:tcBorders>
          </w:tcPr>
          <w:p>
            <w:r>
              <w:rPr>
                <w:sz w:val="22"/>
                <w:szCs w:val="22"/>
              </w:rPr>
              <w:t xml:space="preserve">20%</w:t>
            </w:r>
          </w:p>
        </w:tc>
        <w:tc>
          <w:tcPr>
            <w:tcW w:type="dxa" w:w="4680"/>
            <w:tcBorders>
              <w:top w:val="single" w:color="CCCCCC" w:sz="1"/>
              <w:left w:val="single" w:color="CCCCCC" w:sz="1"/>
              <w:bottom w:val="single" w:color="CCCCCC" w:sz="1"/>
              <w:right w:val="single" w:color="CCCCCC" w:sz="1"/>
            </w:tcBorders>
          </w:tcPr>
          <w:p>
            <w:r>
              <w:rPr>
                <w:sz w:val="22"/>
                <w:szCs w:val="22"/>
              </w:rPr>
              <w:t xml:space="preserve">Network availability and responsiveness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Stake Lock</w:t>
            </w:r>
          </w:p>
        </w:tc>
        <w:tc>
          <w:tcPr>
            <w:tcW w:type="dxa" w:w="1560"/>
            <w:tcBorders>
              <w:top w:val="single" w:color="CCCCCC" w:sz="1"/>
              <w:left w:val="single" w:color="CCCCCC" w:sz="1"/>
              <w:bottom w:val="single" w:color="CCCCCC" w:sz="1"/>
              <w:right w:val="single" w:color="CCCCCC" w:sz="1"/>
            </w:tcBorders>
          </w:tcPr>
          <w:p>
            <w:r>
              <w:rPr>
                <w:sz w:val="22"/>
                <w:szCs w:val="22"/>
              </w:rPr>
              <w:t xml:space="preserve">15%</w:t>
            </w:r>
          </w:p>
        </w:tc>
        <w:tc>
          <w:tcPr>
            <w:tcW w:type="dxa" w:w="4680"/>
            <w:tcBorders>
              <w:top w:val="single" w:color="CCCCCC" w:sz="1"/>
              <w:left w:val="single" w:color="CCCCCC" w:sz="1"/>
              <w:bottom w:val="single" w:color="CCCCCC" w:sz="1"/>
              <w:right w:val="single" w:color="CCCCCC" w:sz="1"/>
            </w:tcBorders>
          </w:tcPr>
          <w:p>
            <w:r>
              <w:rPr>
                <w:sz w:val="22"/>
                <w:szCs w:val="22"/>
              </w:rPr>
              <w:t xml:space="preserve">Duration of stake commitment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Fee Behavior</w:t>
            </w:r>
          </w:p>
        </w:tc>
        <w:tc>
          <w:tcPr>
            <w:tcW w:type="dxa" w:w="1560"/>
            <w:tcBorders>
              <w:top w:val="single" w:color="CCCCCC" w:sz="1"/>
              <w:left w:val="single" w:color="CCCCCC" w:sz="1"/>
              <w:bottom w:val="single" w:color="CCCCCC" w:sz="1"/>
              <w:right w:val="single" w:color="CCCCCC" w:sz="1"/>
            </w:tcBorders>
          </w:tcPr>
          <w:p>
            <w:r>
              <w:rPr>
                <w:sz w:val="22"/>
                <w:szCs w:val="22"/>
              </w:rPr>
              <w:t xml:space="preserve">10%</w:t>
            </w:r>
          </w:p>
        </w:tc>
        <w:tc>
          <w:tcPr>
            <w:tcW w:type="dxa" w:w="4680"/>
            <w:tcBorders>
              <w:top w:val="single" w:color="CCCCCC" w:sz="1"/>
              <w:left w:val="single" w:color="CCCCCC" w:sz="1"/>
              <w:bottom w:val="single" w:color="CCCCCC" w:sz="1"/>
              <w:right w:val="single" w:color="CCCCCC" w:sz="1"/>
            </w:tcBorders>
          </w:tcPr>
          <w:p>
            <w:r>
              <w:rPr>
                <w:sz w:val="22"/>
                <w:szCs w:val="22"/>
              </w:rPr>
              <w:t xml:space="preserve">Fair fee practices, no front-running</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Community</w:t>
            </w:r>
          </w:p>
        </w:tc>
        <w:tc>
          <w:tcPr>
            <w:tcW w:type="dxa" w:w="1560"/>
            <w:tcBorders>
              <w:top w:val="single" w:color="CCCCCC" w:sz="1"/>
              <w:left w:val="single" w:color="CCCCCC" w:sz="1"/>
              <w:bottom w:val="single" w:color="CCCCCC" w:sz="1"/>
              <w:right w:val="single" w:color="CCCCCC" w:sz="1"/>
            </w:tcBorders>
          </w:tcPr>
          <w:p>
            <w:r>
              <w:rPr>
                <w:sz w:val="22"/>
                <w:szCs w:val="22"/>
              </w:rPr>
              <w:t xml:space="preserve">5%</w:t>
            </w:r>
          </w:p>
        </w:tc>
        <w:tc>
          <w:tcPr>
            <w:tcW w:type="dxa" w:w="4680"/>
            <w:tcBorders>
              <w:top w:val="single" w:color="CCCCCC" w:sz="1"/>
              <w:left w:val="single" w:color="CCCCCC" w:sz="1"/>
              <w:bottom w:val="single" w:color="CCCCCC" w:sz="1"/>
              <w:right w:val="single" w:color="CCCCCC" w:sz="1"/>
            </w:tcBorders>
          </w:tcPr>
          <w:p>
            <w:r>
              <w:rPr>
                <w:sz w:val="22"/>
                <w:szCs w:val="22"/>
              </w:rPr>
              <w:t xml:space="preserve">Peer reputation and governance participation</w:t>
            </w:r>
          </w:p>
        </w:tc>
      </w:tr>
    </w:tbl>
    <w:p/>
    <w:p>
      <w:pPr>
        <w:pStyle w:val="Heading2"/>
      </w:pPr>
      <w:r>
        <w:t xml:space="preserve">5.4 Trust Score</w:t>
      </w:r>
    </w:p>
    <w:p>
      <w:pPr>
        <w:spacing w:after="200"/>
        <w:jc w:val="both"/>
      </w:pPr>
      <w:r>
        <w:rPr>
          <w:sz w:val="24"/>
          <w:szCs w:val="24"/>
        </w:rPr>
        <w:t xml:space="preserve">The Trust Score T represents accumulated reputation over time. It increases with consistent good behavior and decreases with protocol violations. Trust is earned slowly but can be lost quickly, incentivizing long-term honest participation. New validators start with a baseline trust score and must prove themselves before gaining significant influence.</w:t>
      </w:r>
    </w:p>
    <w:p>
      <w:pPr>
        <w:pStyle w:val="Heading2"/>
      </w:pPr>
      <w:r>
        <w:t xml:space="preserve">5.5 Validator Selection</w:t>
      </w:r>
    </w:p>
    <w:p>
      <w:pPr>
        <w:spacing w:after="200"/>
        <w:jc w:val="both"/>
      </w:pPr>
      <w:r>
        <w:rPr>
          <w:sz w:val="24"/>
          <w:szCs w:val="24"/>
        </w:rPr>
        <w:t xml:space="preserve">Block producers are selected deterministically using a verifiable random function (VRF) seeded by the previous block hash. The selection probability is proportional to validator weight W, ensuring that higher-quality validators produce more blocks while maintaining unpredictability to prevent targeted attacks.</w:t>
      </w:r>
    </w:p>
    <w:p>
      <w:r>
        <w:br w:type="page"/>
      </w:r>
    </w:p>
    <w:p>
      <w:pPr>
        <w:pStyle w:val="Heading1"/>
      </w:pPr>
      <w:r>
        <w:t xml:space="preserve">6. Performance Analysis</w:t>
      </w:r>
    </w:p>
    <w:p>
      <w:pPr>
        <w:pStyle w:val="Heading2"/>
      </w:pPr>
      <w:r>
        <w:t xml:space="preserve">6.1 Benchmarks</w:t>
      </w:r>
    </w:p>
    <w:p>
      <w:pPr>
        <w:spacing w:after="200"/>
        <w:jc w:val="both"/>
      </w:pPr>
      <w:r>
        <w:rPr>
          <w:sz w:val="24"/>
          <w:szCs w:val="24"/>
        </w:rPr>
        <w:t xml:space="preserve">The following benchmarks were measured on commodity laptop hardware (AMD Ryzen 3 5300U, 8 threads) in release builds: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Operation</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Time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Throughput</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STARK proof generation</w:t>
            </w:r>
          </w:p>
        </w:tc>
        <w:tc>
          <w:tcPr>
            <w:tcW w:type="dxa" w:w="2340"/>
            <w:tcBorders>
              <w:top w:val="single" w:color="CCCCCC" w:sz="1"/>
              <w:left w:val="single" w:color="CCCCCC" w:sz="1"/>
              <w:bottom w:val="single" w:color="CCCCCC" w:sz="1"/>
              <w:right w:val="single" w:color="CCCCCC" w:sz="1"/>
            </w:tcBorders>
          </w:tcPr>
          <w:p>
            <w:r>
              <w:rPr>
                <w:sz w:val="22"/>
                <w:szCs w:val="22"/>
              </w:rPr>
              <w:t xml:space="preserve">~35 ms</w:t>
            </w:r>
          </w:p>
        </w:tc>
        <w:tc>
          <w:tcPr>
            <w:tcW w:type="dxa" w:w="2340"/>
            <w:tcBorders>
              <w:top w:val="single" w:color="CCCCCC" w:sz="1"/>
              <w:left w:val="single" w:color="CCCCCC" w:sz="1"/>
              <w:bottom w:val="single" w:color="CCCCCC" w:sz="1"/>
              <w:right w:val="single" w:color="CCCCCC" w:sz="1"/>
            </w:tcBorders>
          </w:tcPr>
          <w:p>
            <w:r>
              <w:rPr>
                <w:sz w:val="22"/>
                <w:szCs w:val="22"/>
              </w:rPr>
              <w:t xml:space="preserve">28 proofs/sec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STARK proof verification</w:t>
            </w:r>
          </w:p>
        </w:tc>
        <w:tc>
          <w:tcPr>
            <w:tcW w:type="dxa" w:w="2340"/>
            <w:tcBorders>
              <w:top w:val="single" w:color="CCCCCC" w:sz="1"/>
              <w:left w:val="single" w:color="CCCCCC" w:sz="1"/>
              <w:bottom w:val="single" w:color="CCCCCC" w:sz="1"/>
              <w:right w:val="single" w:color="CCCCCC" w:sz="1"/>
            </w:tcBorders>
          </w:tcPr>
          <w:p>
            <w:r>
              <w:rPr>
                <w:sz w:val="22"/>
                <w:szCs w:val="22"/>
              </w:rPr>
              <w:t xml:space="preserve">~303 μs</w:t>
            </w:r>
          </w:p>
        </w:tc>
        <w:tc>
          <w:tcPr>
            <w:tcW w:type="dxa" w:w="2340"/>
            <w:tcBorders>
              <w:top w:val="single" w:color="CCCCCC" w:sz="1"/>
              <w:left w:val="single" w:color="CCCCCC" w:sz="1"/>
              <w:bottom w:val="single" w:color="CCCCCC" w:sz="1"/>
              <w:right w:val="single" w:color="CCCCCC" w:sz="1"/>
            </w:tcBorders>
          </w:tcPr>
          <w:p>
            <w:r>
              <w:rPr>
                <w:sz w:val="22"/>
                <w:szCs w:val="22"/>
              </w:rPr>
              <w:t xml:space="preserve">3,300 verifs/sec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Falcon-512 signing</w:t>
            </w:r>
          </w:p>
        </w:tc>
        <w:tc>
          <w:tcPr>
            <w:tcW w:type="dxa" w:w="2340"/>
            <w:tcBorders>
              <w:top w:val="single" w:color="CCCCCC" w:sz="1"/>
              <w:left w:val="single" w:color="CCCCCC" w:sz="1"/>
              <w:bottom w:val="single" w:color="CCCCCC" w:sz="1"/>
              <w:right w:val="single" w:color="CCCCCC" w:sz="1"/>
            </w:tcBorders>
          </w:tcPr>
          <w:p>
            <w:r>
              <w:rPr>
                <w:sz w:val="22"/>
                <w:szCs w:val="22"/>
              </w:rPr>
              <w:t xml:space="preserve">~230 μs</w:t>
            </w:r>
          </w:p>
        </w:tc>
        <w:tc>
          <w:tcPr>
            <w:tcW w:type="dxa" w:w="2340"/>
            <w:tcBorders>
              <w:top w:val="single" w:color="CCCCCC" w:sz="1"/>
              <w:left w:val="single" w:color="CCCCCC" w:sz="1"/>
              <w:bottom w:val="single" w:color="CCCCCC" w:sz="1"/>
              <w:right w:val="single" w:color="CCCCCC" w:sz="1"/>
            </w:tcBorders>
          </w:tcPr>
          <w:p>
            <w:r>
              <w:rPr>
                <w:sz w:val="22"/>
                <w:szCs w:val="22"/>
              </w:rPr>
              <w:t xml:space="preserve">4,300 sigs/sec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Falcon-512 verification</w:t>
            </w:r>
          </w:p>
        </w:tc>
        <w:tc>
          <w:tcPr>
            <w:tcW w:type="dxa" w:w="2340"/>
            <w:tcBorders>
              <w:top w:val="single" w:color="CCCCCC" w:sz="1"/>
              <w:left w:val="single" w:color="CCCCCC" w:sz="1"/>
              <w:bottom w:val="single" w:color="CCCCCC" w:sz="1"/>
              <w:right w:val="single" w:color="CCCCCC" w:sz="1"/>
            </w:tcBorders>
          </w:tcPr>
          <w:p>
            <w:r>
              <w:rPr>
                <w:sz w:val="22"/>
                <w:szCs w:val="22"/>
              </w:rPr>
              <w:t xml:space="preserve">~40 μs</w:t>
            </w:r>
          </w:p>
        </w:tc>
        <w:tc>
          <w:tcPr>
            <w:tcW w:type="dxa" w:w="2340"/>
            <w:tcBorders>
              <w:top w:val="single" w:color="CCCCCC" w:sz="1"/>
              <w:left w:val="single" w:color="CCCCCC" w:sz="1"/>
              <w:bottom w:val="single" w:color="CCCCCC" w:sz="1"/>
              <w:right w:val="single" w:color="CCCCCC" w:sz="1"/>
            </w:tcBorders>
          </w:tcPr>
          <w:p>
            <w:r>
              <w:rPr>
                <w:sz w:val="22"/>
                <w:szCs w:val="22"/>
              </w:rPr>
              <w:t xml:space="preserve">25,000 verifs/sec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Kyber-768 encapsulation</w:t>
            </w:r>
          </w:p>
        </w:tc>
        <w:tc>
          <w:tcPr>
            <w:tcW w:type="dxa" w:w="2340"/>
            <w:tcBorders>
              <w:top w:val="single" w:color="CCCCCC" w:sz="1"/>
              <w:left w:val="single" w:color="CCCCCC" w:sz="1"/>
              <w:bottom w:val="single" w:color="CCCCCC" w:sz="1"/>
              <w:right w:val="single" w:color="CCCCCC" w:sz="1"/>
            </w:tcBorders>
          </w:tcPr>
          <w:p>
            <w:r>
              <w:rPr>
                <w:sz w:val="22"/>
                <w:szCs w:val="22"/>
              </w:rPr>
              <w:t xml:space="preserve">~40 μs</w:t>
            </w:r>
          </w:p>
        </w:tc>
        <w:tc>
          <w:tcPr>
            <w:tcW w:type="dxa" w:w="2340"/>
            <w:tcBorders>
              <w:top w:val="single" w:color="CCCCCC" w:sz="1"/>
              <w:left w:val="single" w:color="CCCCCC" w:sz="1"/>
              <w:bottom w:val="single" w:color="CCCCCC" w:sz="1"/>
              <w:right w:val="single" w:color="CCCCCC" w:sz="1"/>
            </w:tcBorders>
          </w:tcPr>
          <w:p>
            <w:r>
              <w:rPr>
                <w:sz w:val="22"/>
                <w:szCs w:val="22"/>
              </w:rPr>
              <w:t xml:space="preserve">25,000 ops/sec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Kyber-768 decapsulation</w:t>
            </w:r>
          </w:p>
        </w:tc>
        <w:tc>
          <w:tcPr>
            <w:tcW w:type="dxa" w:w="2340"/>
            <w:tcBorders>
              <w:top w:val="single" w:color="CCCCCC" w:sz="1"/>
              <w:left w:val="single" w:color="CCCCCC" w:sz="1"/>
              <w:bottom w:val="single" w:color="CCCCCC" w:sz="1"/>
              <w:right w:val="single" w:color="CCCCCC" w:sz="1"/>
            </w:tcBorders>
          </w:tcPr>
          <w:p>
            <w:r>
              <w:rPr>
                <w:sz w:val="22"/>
                <w:szCs w:val="22"/>
              </w:rPr>
              <w:t xml:space="preserve">~41 μs</w:t>
            </w:r>
          </w:p>
        </w:tc>
        <w:tc>
          <w:tcPr>
            <w:tcW w:type="dxa" w:w="2340"/>
            <w:tcBorders>
              <w:top w:val="single" w:color="CCCCCC" w:sz="1"/>
              <w:left w:val="single" w:color="CCCCCC" w:sz="1"/>
              <w:bottom w:val="single" w:color="CCCCCC" w:sz="1"/>
              <w:right w:val="single" w:color="CCCCCC" w:sz="1"/>
            </w:tcBorders>
          </w:tcPr>
          <w:p>
            <w:r>
              <w:rPr>
                <w:sz w:val="22"/>
                <w:szCs w:val="22"/>
              </w:rPr>
              <w:t xml:space="preserve">24,500 ops/sec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Poseidon commitment</w:t>
            </w:r>
          </w:p>
        </w:tc>
        <w:tc>
          <w:tcPr>
            <w:tcW w:type="dxa" w:w="2340"/>
            <w:tcBorders>
              <w:top w:val="single" w:color="CCCCCC" w:sz="1"/>
              <w:left w:val="single" w:color="CCCCCC" w:sz="1"/>
              <w:bottom w:val="single" w:color="CCCCCC" w:sz="1"/>
              <w:right w:val="single" w:color="CCCCCC" w:sz="1"/>
            </w:tcBorders>
          </w:tcPr>
          <w:p>
            <w:r>
              <w:rPr>
                <w:sz w:val="22"/>
                <w:szCs w:val="22"/>
              </w:rPr>
              <w:t xml:space="preserve">~40 μs</w:t>
            </w:r>
          </w:p>
        </w:tc>
        <w:tc>
          <w:tcPr>
            <w:tcW w:type="dxa" w:w="2340"/>
            <w:tcBorders>
              <w:top w:val="single" w:color="CCCCCC" w:sz="1"/>
              <w:left w:val="single" w:color="CCCCCC" w:sz="1"/>
              <w:bottom w:val="single" w:color="CCCCCC" w:sz="1"/>
              <w:right w:val="single" w:color="CCCCCC" w:sz="1"/>
            </w:tcBorders>
          </w:tcPr>
          <w:p>
            <w:r>
              <w:rPr>
                <w:sz w:val="22"/>
                <w:szCs w:val="22"/>
              </w:rPr>
              <w:t xml:space="preserve">25,000 ops/sec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View tag scan check</w:t>
            </w:r>
          </w:p>
        </w:tc>
        <w:tc>
          <w:tcPr>
            <w:tcW w:type="dxa" w:w="2340"/>
            <w:tcBorders>
              <w:top w:val="single" w:color="CCCCCC" w:sz="1"/>
              <w:left w:val="single" w:color="CCCCCC" w:sz="1"/>
              <w:bottom w:val="single" w:color="CCCCCC" w:sz="1"/>
              <w:right w:val="single" w:color="CCCCCC" w:sz="1"/>
            </w:tcBorders>
          </w:tcPr>
          <w:p>
            <w:r>
              <w:rPr>
                <w:sz w:val="22"/>
                <w:szCs w:val="22"/>
              </w:rPr>
              <w:t xml:space="preserve">~112 ns</w:t>
            </w:r>
          </w:p>
        </w:tc>
        <w:tc>
          <w:tcPr>
            <w:tcW w:type="dxa" w:w="2340"/>
            <w:tcBorders>
              <w:top w:val="single" w:color="CCCCCC" w:sz="1"/>
              <w:left w:val="single" w:color="CCCCCC" w:sz="1"/>
              <w:bottom w:val="single" w:color="CCCCCC" w:sz="1"/>
              <w:right w:val="single" w:color="CCCCCC" w:sz="1"/>
            </w:tcBorders>
          </w:tcPr>
          <w:p>
            <w:r>
              <w:rPr>
                <w:sz w:val="22"/>
                <w:szCs w:val="22"/>
              </w:rPr>
              <w:t xml:space="preserve">8.9M checks/sec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Full KEM scan (decapsulate)</w:t>
            </w:r>
          </w:p>
        </w:tc>
        <w:tc>
          <w:tcPr>
            <w:tcW w:type="dxa" w:w="2340"/>
            <w:tcBorders>
              <w:top w:val="single" w:color="CCCCCC" w:sz="1"/>
              <w:left w:val="single" w:color="CCCCCC" w:sz="1"/>
              <w:bottom w:val="single" w:color="CCCCCC" w:sz="1"/>
              <w:right w:val="single" w:color="CCCCCC" w:sz="1"/>
            </w:tcBorders>
          </w:tcPr>
          <w:p>
            <w:r>
              <w:rPr>
                <w:sz w:val="22"/>
                <w:szCs w:val="22"/>
              </w:rPr>
              <w:t xml:space="preserve">~57 μs</w:t>
            </w:r>
          </w:p>
        </w:tc>
        <w:tc>
          <w:tcPr>
            <w:tcW w:type="dxa" w:w="2340"/>
            <w:tcBorders>
              <w:top w:val="single" w:color="CCCCCC" w:sz="1"/>
              <w:left w:val="single" w:color="CCCCCC" w:sz="1"/>
              <w:bottom w:val="single" w:color="CCCCCC" w:sz="1"/>
              <w:right w:val="single" w:color="CCCCCC" w:sz="1"/>
            </w:tcBorders>
          </w:tcPr>
          <w:p>
            <w:r>
              <w:rPr>
                <w:sz w:val="22"/>
                <w:szCs w:val="22"/>
              </w:rPr>
              <w:t xml:space="preserve">17,500 ops/sec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PrivateCompactTx creation</w:t>
            </w:r>
          </w:p>
        </w:tc>
        <w:tc>
          <w:tcPr>
            <w:tcW w:type="dxa" w:w="2340"/>
            <w:tcBorders>
              <w:top w:val="single" w:color="CCCCCC" w:sz="1"/>
              <w:left w:val="single" w:color="CCCCCC" w:sz="1"/>
              <w:bottom w:val="single" w:color="CCCCCC" w:sz="1"/>
              <w:right w:val="single" w:color="CCCCCC" w:sz="1"/>
            </w:tcBorders>
          </w:tcPr>
          <w:p>
            <w:r>
              <w:rPr>
                <w:sz w:val="22"/>
                <w:szCs w:val="22"/>
              </w:rPr>
              <w:t xml:space="preserve">~273 μs</w:t>
            </w:r>
          </w:p>
        </w:tc>
        <w:tc>
          <w:tcPr>
            <w:tcW w:type="dxa" w:w="2340"/>
            <w:tcBorders>
              <w:top w:val="single" w:color="CCCCCC" w:sz="1"/>
              <w:left w:val="single" w:color="CCCCCC" w:sz="1"/>
              <w:bottom w:val="single" w:color="CCCCCC" w:sz="1"/>
              <w:right w:val="single" w:color="CCCCCC" w:sz="1"/>
            </w:tcBorders>
          </w:tcPr>
          <w:p>
            <w:r>
              <w:rPr>
                <w:sz w:val="22"/>
                <w:szCs w:val="22"/>
              </w:rPr>
              <w:t xml:space="preserve">3,700 tx/sec</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PrivateStarkTx creation</w:t>
            </w:r>
          </w:p>
        </w:tc>
        <w:tc>
          <w:tcPr>
            <w:tcW w:type="dxa" w:w="2340"/>
            <w:tcBorders>
              <w:top w:val="single" w:color="CCCCCC" w:sz="1"/>
              <w:left w:val="single" w:color="CCCCCC" w:sz="1"/>
              <w:bottom w:val="single" w:color="CCCCCC" w:sz="1"/>
              <w:right w:val="single" w:color="CCCCCC" w:sz="1"/>
            </w:tcBorders>
          </w:tcPr>
          <w:p>
            <w:r>
              <w:rPr>
                <w:sz w:val="22"/>
                <w:szCs w:val="22"/>
              </w:rPr>
              <w:t xml:space="preserve">~20 ms</w:t>
            </w:r>
          </w:p>
        </w:tc>
        <w:tc>
          <w:tcPr>
            <w:tcW w:type="dxa" w:w="2340"/>
            <w:tcBorders>
              <w:top w:val="single" w:color="CCCCCC" w:sz="1"/>
              <w:left w:val="single" w:color="CCCCCC" w:sz="1"/>
              <w:bottom w:val="single" w:color="CCCCCC" w:sz="1"/>
              <w:right w:val="single" w:color="CCCCCC" w:sz="1"/>
            </w:tcBorders>
          </w:tcPr>
          <w:p>
            <w:r>
              <w:rPr>
                <w:sz w:val="22"/>
                <w:szCs w:val="22"/>
              </w:rPr>
              <w:t xml:space="preserve">49 tx/sec</w:t>
            </w:r>
          </w:p>
        </w:tc>
      </w:tr>
    </w:tbl>
    <w:p/>
    <w:p>
      <w:pPr>
        <w:pStyle w:val="Heading2"/>
      </w:pPr>
      <w:r>
        <w:t xml:space="preserve">6.2 Scalability Considerations</w:t>
      </w:r>
    </w:p>
    <w:p>
      <w:pPr>
        <w:spacing w:after="200"/>
        <w:jc w:val="both"/>
      </w:pPr>
      <w:r>
        <w:rPr>
          <w:sz w:val="24"/>
          <w:szCs w:val="24"/>
        </w:rPr>
        <w:t xml:space="preserve">STARK proof verification is significantly faster than generation (303μs vs 35ms), enabling validators to process incoming transactions efficiently. The 8-byte view tag optimization provides approximately 250x speedup compared to full KEM decapsulation for transaction scanning, allowing wallets to process millions of transactions per second when filtering for relevant outputs.</w:t>
      </w:r>
    </w:p>
    <w:p>
      <w:pPr>
        <w:spacing w:after="200"/>
        <w:jc w:val="both"/>
      </w:pPr>
      <w:r>
        <w:rPr>
          <w:sz w:val="24"/>
          <w:szCs w:val="24"/>
        </w:rPr>
        <w:t xml:space="preserve">STARK proofs have high entropy and do not compress significantly. The ~33KB proof size is the primary contributor to PrivateStarkTx size. For applications requiring smaller transactions, PrivateCompactTx provides stealth addresses and encrypted sender identity at only ~1.9KB, with the trade-off of visible transaction amounts.</w:t>
      </w:r>
    </w:p>
    <w:p>
      <w:r>
        <w:br w:type="page"/>
      </w:r>
    </w:p>
    <w:p>
      <w:pPr>
        <w:pStyle w:val="Heading1"/>
      </w:pPr>
      <w:r>
        <w:t xml:space="preserve">7. Security Analysis</w:t>
      </w:r>
    </w:p>
    <w:p>
      <w:pPr>
        <w:pStyle w:val="Heading2"/>
      </w:pPr>
      <w:r>
        <w:t xml:space="preserve">7.1 Post-Quantum Security</w:t>
      </w:r>
    </w:p>
    <w:p>
      <w:pPr>
        <w:spacing w:after="200"/>
        <w:jc w:val="both"/>
      </w:pPr>
      <w:r>
        <w:rPr>
          <w:sz w:val="24"/>
          <w:szCs w:val="24"/>
        </w:rPr>
        <w:t xml:space="preserve">All public-key cryptographic operations use NIST-standardized post-quantum algorithms. Falcon-512 and Kyber-768 provide 128-bit security against both classical and quantum adversaries. Symmetric operations use 256-bit keys, providing 128-bit post-quantum security under Grover's algorithm.</w:t>
      </w:r>
    </w:p>
    <w:p>
      <w:pPr>
        <w:pStyle w:val="Heading2"/>
      </w:pPr>
      <w:r>
        <w:t xml:space="preserve">7.2 Zero-Knowledge Security</w:t>
      </w:r>
    </w:p>
    <w:p>
      <w:pPr>
        <w:spacing w:after="200"/>
        <w:jc w:val="both"/>
      </w:pPr>
      <w:r>
        <w:rPr>
          <w:sz w:val="24"/>
          <w:szCs w:val="24"/>
        </w:rPr>
        <w:t xml:space="preserve">STARK proofs provide computational zero-knowledge, meaning a polynomial-time adversary cannot extract information about the witness (transaction amount) beyond what is revealed by the statement (that the amount is in range). The transparent setup eliminates trusted setup vulnerabilities present in SNARK-based systems.</w:t>
      </w:r>
    </w:p>
    <w:p>
      <w:pPr>
        <w:pStyle w:val="Heading2"/>
      </w:pPr>
      <w:r>
        <w:t xml:space="preserve">7.3 Potential Attack Vectors</w:t>
      </w:r>
    </w:p>
    <w:p>
      <w:pPr>
        <w:pStyle w:val="Heading3"/>
      </w:pPr>
      <w:r>
        <w:t xml:space="preserve">7.3.1 Timing Attacks</w:t>
      </w:r>
    </w:p>
    <w:p>
      <w:pPr>
        <w:spacing w:after="200"/>
        <w:jc w:val="both"/>
      </w:pPr>
      <w:r>
        <w:rPr>
          <w:sz w:val="24"/>
          <w:szCs w:val="24"/>
        </w:rPr>
        <w:t xml:space="preserve">Cryptographic operations use constant-time implementations where available. The pqcrypto Rust library provides constant-time Falcon and Kyber implementations. STARK proof generation time is independent of the secret value.</w:t>
      </w:r>
    </w:p>
    <w:p>
      <w:pPr>
        <w:pStyle w:val="Heading3"/>
      </w:pPr>
      <w:r>
        <w:t xml:space="preserve">7.3.2 Traffic Analysis</w:t>
      </w:r>
    </w:p>
    <w:p>
      <w:pPr>
        <w:spacing w:after="200"/>
        <w:jc w:val="both"/>
      </w:pPr>
      <w:r>
        <w:rPr>
          <w:sz w:val="24"/>
          <w:szCs w:val="24"/>
        </w:rPr>
        <w:t xml:space="preserve">Transaction sizes vary with proof complexity, potentially leaking information through traffic analysis. ZSTD compression adds noise to exact sizes, and the protocol recommends using mix networks or onion routing for enhanced network-layer privacy.</w:t>
      </w:r>
    </w:p>
    <w:p>
      <w:pPr>
        <w:pStyle w:val="Heading3"/>
      </w:pPr>
      <w:r>
        <w:t xml:space="preserve">7.3.3 Quantum Harvest Attacks</w:t>
      </w:r>
    </w:p>
    <w:p>
      <w:pPr>
        <w:spacing w:after="200"/>
        <w:jc w:val="both"/>
      </w:pPr>
      <w:r>
        <w:rPr>
          <w:sz w:val="24"/>
          <w:szCs w:val="24"/>
        </w:rPr>
        <w:t xml:space="preserve">Since all cryptography is post-quantum secure, recorded transactions remain confidential even if quantum computers become available. This "harvest now, decrypt later" attack vector is fully mitigated.</w:t>
      </w:r>
    </w:p>
    <w:p>
      <w:r>
        <w:br w:type="page"/>
      </w:r>
    </w:p>
    <w:p>
      <w:pPr>
        <w:pStyle w:val="Heading1"/>
      </w:pPr>
      <w:r>
        <w:t xml:space="preserve">8. Roadmap</w:t>
      </w:r>
    </w:p>
    <w:p>
      <w:pPr>
        <w:pStyle w:val="Heading2"/>
      </w:pPr>
      <w:r>
        <w:t xml:space="preserve">8.1 Completed Features</w:t>
      </w:r>
    </w:p>
    <w:p>
      <w:pPr>
        <w:pStyle w:val="ListParagraph"/>
        <w:numPr>
          <w:ilvl w:val="0"/>
          <w:numId w:val="2"/>
        </w:numPr>
      </w:pPr>
      <w:r>
        <w:t xml:space="preserve">Post-quantum signatures (Falcon-512)</w:t>
      </w:r>
    </w:p>
    <w:p>
      <w:pPr>
        <w:pStyle w:val="ListParagraph"/>
        <w:numPr>
          <w:ilvl w:val="0"/>
          <w:numId w:val="2"/>
        </w:numPr>
      </w:pPr>
      <w:r>
        <w:t xml:space="preserve">Post-quantum key encapsulation (Kyber-768)</w:t>
      </w:r>
    </w:p>
    <w:p>
      <w:pPr>
        <w:pStyle w:val="ListParagraph"/>
        <w:numPr>
          <w:ilvl w:val="0"/>
          <w:numId w:val="2"/>
        </w:numPr>
      </w:pPr>
      <w:r>
        <w:t xml:space="preserve">Stealth address system with view tags</w:t>
      </w:r>
    </w:p>
    <w:p>
      <w:pPr>
        <w:pStyle w:val="ListParagraph"/>
        <w:numPr>
          <w:ilvl w:val="0"/>
          <w:numId w:val="2"/>
        </w:numPr>
      </w:pPr>
      <w:r>
        <w:t xml:space="preserve">STARK range proofs with Poseidon</w:t>
      </w:r>
    </w:p>
    <w:p>
      <w:pPr>
        <w:pStyle w:val="ListParagraph"/>
        <w:numPr>
          <w:ilvl w:val="0"/>
          <w:numId w:val="2"/>
        </w:numPr>
      </w:pPr>
      <w:r>
        <w:t xml:space="preserve">Confidential amounts</w:t>
      </w:r>
    </w:p>
    <w:p>
      <w:pPr>
        <w:pStyle w:val="ListParagraph"/>
        <w:numPr>
          <w:ilvl w:val="0"/>
          <w:numId w:val="2"/>
        </w:numPr>
      </w:pPr>
      <w:r>
        <w:t xml:space="preserve">Encrypted sender identity</w:t>
      </w:r>
    </w:p>
    <w:p>
      <w:pPr>
        <w:pStyle w:val="ListParagraph"/>
        <w:numPr>
          <w:ilvl w:val="0"/>
          <w:numId w:val="2"/>
        </w:numPr>
      </w:pPr>
      <w:r>
        <w:t xml:space="preserve">Transaction compression (ZSTD)</w:t>
      </w:r>
    </w:p>
    <w:p>
      <w:pPr>
        <w:pStyle w:val="ListParagraph"/>
        <w:numPr>
          <w:ilvl w:val="0"/>
          <w:numId w:val="2"/>
        </w:numPr>
      </w:pPr>
      <w:r>
        <w:t xml:space="preserve">PRO consensus mechanism</w:t>
      </w:r>
    </w:p>
    <w:p>
      <w:pPr>
        <w:pStyle w:val="ListParagraph"/>
        <w:numPr>
          <w:ilvl w:val="0"/>
          <w:numId w:val="2"/>
        </w:numPr>
      </w:pPr>
      <w:r>
        <w:t xml:space="preserve">View key support</w:t>
      </w:r>
    </w:p>
    <w:p>
      <w:pPr>
        <w:pStyle w:val="ListParagraph"/>
        <w:numPr>
          <w:ilvl w:val="0"/>
          <w:numId w:val="2"/>
        </w:numPr>
      </w:pPr>
      <w:r>
        <w:t xml:space="preserve">Command-line wallet</w:t>
      </w:r>
    </w:p>
    <w:p>
      <w:pPr>
        <w:pStyle w:val="Heading2"/>
      </w:pPr>
      <w:r>
        <w:t xml:space="preserve">8.2 Planned Features</w:t>
      </w:r>
    </w:p>
    <w:p>
      <w:pPr>
        <w:pStyle w:val="ListParagraph"/>
        <w:numPr>
          <w:ilvl w:val="0"/>
          <w:numId w:val="2"/>
        </w:numPr>
      </w:pPr>
      <w:r>
        <w:rPr>
          <w:b/>
          <w:bCs/>
        </w:rPr>
        <w:t xml:space="preserve">Multi-asset support: </w:t>
      </w:r>
      <w:r>
        <w:t xml:space="preserve">Native support for multiple token types</w:t>
      </w:r>
    </w:p>
    <w:p>
      <w:pPr>
        <w:pStyle w:val="ListParagraph"/>
        <w:numPr>
          <w:ilvl w:val="0"/>
          <w:numId w:val="2"/>
        </w:numPr>
      </w:pPr>
      <w:r>
        <w:rPr>
          <w:b/>
          <w:bCs/>
        </w:rPr>
        <w:t xml:space="preserve">Decoy outputs: </w:t>
      </w:r>
      <w:r>
        <w:t xml:space="preserve">Ring signature alternative for enhanced anonymity sets</w:t>
      </w:r>
    </w:p>
    <w:p>
      <w:pPr>
        <w:pStyle w:val="ListParagraph"/>
        <w:numPr>
          <w:ilvl w:val="0"/>
          <w:numId w:val="2"/>
        </w:numPr>
      </w:pPr>
      <w:r>
        <w:rPr>
          <w:b/>
          <w:bCs/>
        </w:rPr>
        <w:t xml:space="preserve">Hardware wallet support: </w:t>
      </w:r>
      <w:r>
        <w:t xml:space="preserve">Integration with Ledger/Trezor devices</w:t>
      </w:r>
    </w:p>
    <w:p>
      <w:pPr>
        <w:pStyle w:val="ListParagraph"/>
        <w:numPr>
          <w:ilvl w:val="0"/>
          <w:numId w:val="2"/>
        </w:numPr>
      </w:pPr>
      <w:r>
        <w:rPr>
          <w:b/>
          <w:bCs/>
        </w:rPr>
        <w:t xml:space="preserve">Mobile wallet: </w:t>
      </w:r>
      <w:r>
        <w:t xml:space="preserve">iOS and Android applications</w:t>
      </w:r>
    </w:p>
    <w:p>
      <w:pPr>
        <w:pStyle w:val="ListParagraph"/>
        <w:numPr>
          <w:ilvl w:val="0"/>
          <w:numId w:val="2"/>
        </w:numPr>
      </w:pPr>
      <w:r>
        <w:rPr>
          <w:b/>
          <w:bCs/>
        </w:rPr>
        <w:t xml:space="preserve">Smart contracts: </w:t>
      </w:r>
      <w:r>
        <w:t xml:space="preserve">Privacy-preserving programmable transactions</w:t>
      </w:r>
    </w:p>
    <w:p>
      <w:pPr>
        <w:pStyle w:val="ListParagraph"/>
        <w:numPr>
          <w:ilvl w:val="0"/>
          <w:numId w:val="2"/>
        </w:numPr>
      </w:pPr>
      <w:r>
        <w:rPr>
          <w:b/>
          <w:bCs/>
        </w:rPr>
        <w:t xml:space="preserve">Cross-chain bridges: </w:t>
      </w:r>
      <w:r>
        <w:t xml:space="preserve">Interoperability with other blockchains</w:t>
      </w:r>
    </w:p>
    <w:p>
      <w:r>
        <w:br w:type="page"/>
      </w:r>
    </w:p>
    <w:p>
      <w:pPr>
        <w:pStyle w:val="Heading1"/>
      </w:pPr>
      <w:r>
        <w:t xml:space="preserve">9. Conclusion</w:t>
      </w:r>
    </w:p>
    <w:p>
      <w:pPr>
        <w:spacing w:after="200"/>
        <w:jc w:val="both"/>
      </w:pPr>
      <w:r>
        <w:rPr>
          <w:sz w:val="24"/>
          <w:szCs w:val="24"/>
        </w:rPr>
        <w:t xml:space="preserve">True Trust Protocol demonstrates that post-quantum security and complete transaction privacy can be achieved in a practical blockchain system. By combining NIST-standardized post-quantum cryptography with transparent STARK proofs, TTP provides strong security guarantees without relying on trusted setup ceremonies or cryptographic assumptions that may be broken by quantum computers.</w:t>
      </w:r>
    </w:p>
    <w:p>
      <w:pPr>
        <w:spacing w:after="200"/>
        <w:jc w:val="both"/>
      </w:pPr>
      <w:r>
        <w:rPr>
          <w:sz w:val="24"/>
          <w:szCs w:val="24"/>
        </w:rPr>
        <w:t xml:space="preserve">The novel Proof-of-Reputation consensus mechanism ensures that validator selection considers not just stake but also historical behavior and service quality, promoting a healthy and decentralized network. The view key system enables regulatory compliance without compromising privacy for users who do not require auditing.</w:t>
      </w:r>
    </w:p>
    <w:p>
      <w:pPr>
        <w:spacing w:after="200"/>
        <w:jc w:val="both"/>
      </w:pPr>
      <w:r>
        <w:rPr>
          <w:sz w:val="24"/>
          <w:szCs w:val="24"/>
        </w:rPr>
        <w:t xml:space="preserve">As quantum computing advances and privacy concerns grow, True Trust Protocol positions itself as a robust foundation for the next generation of private, secure digital transactions.</w:t>
      </w:r>
    </w:p>
    <w:p>
      <w:r>
        <w:br w:type="page"/>
      </w:r>
    </w:p>
    <w:p>
      <w:pPr>
        <w:pStyle w:val="Heading1"/>
      </w:pPr>
      <w:r>
        <w:t xml:space="preserve">10. References</w:t>
      </w:r>
    </w:p>
    <w:p>
      <w:pPr>
        <w:spacing w:after="150"/>
      </w:pPr>
      <w:r>
        <w:rPr>
          <w:b/>
          <w:bCs/>
        </w:rPr>
        <w:t xml:space="preserve">[1] </w:t>
      </w:r>
      <w:r>
        <w:t xml:space="preserve">NIST. "Post-Quantum Cryptography Standardization." https://csrc.nist.gov/projects/post-quantum-cryptography</w:t>
      </w:r>
    </w:p>
    <w:p>
      <w:pPr>
        <w:spacing w:after="150"/>
      </w:pPr>
      <w:r>
        <w:rPr>
          <w:b/>
          <w:bCs/>
        </w:rPr>
        <w:t xml:space="preserve">[2] </w:t>
      </w:r>
      <w:r>
        <w:t xml:space="preserve">Fouque, P.A., et al. "Falcon: Fast-Fourier Lattice-based Compact Signatures over NTRU." NIST PQC Submission, 2020.</w:t>
      </w:r>
    </w:p>
    <w:p>
      <w:pPr>
        <w:spacing w:after="150"/>
      </w:pPr>
      <w:r>
        <w:rPr>
          <w:b/>
          <w:bCs/>
        </w:rPr>
        <w:t xml:space="preserve">[3] </w:t>
      </w:r>
      <w:r>
        <w:t xml:space="preserve">Avanzi, R., et al. "CRYSTALS-Kyber Algorithm Specifications." NIST PQC Submission, 2020.</w:t>
      </w:r>
    </w:p>
    <w:p>
      <w:pPr>
        <w:spacing w:after="150"/>
      </w:pPr>
      <w:r>
        <w:rPr>
          <w:b/>
          <w:bCs/>
        </w:rPr>
        <w:t xml:space="preserve">[4] </w:t>
      </w:r>
      <w:r>
        <w:t xml:space="preserve">Ben-Sasson, E., et al. "Scalable, transparent, and post-quantum secure computational integrity." IACR Cryptology ePrint Archive, 2018.</w:t>
      </w:r>
    </w:p>
    <w:p>
      <w:pPr>
        <w:spacing w:after="150"/>
      </w:pPr>
      <w:r>
        <w:rPr>
          <w:b/>
          <w:bCs/>
        </w:rPr>
        <w:t xml:space="preserve">[5] </w:t>
      </w:r>
      <w:r>
        <w:t xml:space="preserve">Grassi, L., et al. "Poseidon: A New Hash Function for Zero-Knowledge Proof Systems." USENIX Security, 2021.</w:t>
      </w:r>
    </w:p>
    <w:p>
      <w:pPr>
        <w:spacing w:after="150"/>
      </w:pPr>
      <w:r>
        <w:rPr>
          <w:b/>
          <w:bCs/>
        </w:rPr>
        <w:t xml:space="preserve">[6] </w:t>
      </w:r>
      <w:r>
        <w:t xml:space="preserve">van Saberhagen, N. "CryptoNote v2.0." https://cryptonote.org/whitepaper.pdf, 2013.</w:t>
      </w:r>
    </w:p>
    <w:p>
      <w:pPr>
        <w:spacing w:after="150"/>
      </w:pPr>
      <w:r>
        <w:rPr>
          <w:b/>
          <w:bCs/>
        </w:rPr>
        <w:t xml:space="preserve">[7] </w:t>
      </w:r>
      <w:r>
        <w:t xml:space="preserve">Facebook Research. "Winterfell: A STARK prover and verifier." https://github.com/facebook/winterfell</w:t>
      </w:r>
    </w:p>
    <w:p>
      <w:pPr>
        <w:spacing w:after="150"/>
      </w:pPr>
      <w:r>
        <w:rPr>
          <w:b/>
          <w:bCs/>
        </w:rPr>
        <w:t xml:space="preserve">[8] </w:t>
      </w:r>
      <w:r>
        <w:t xml:space="preserve">NIST. "SHA-3 Standard: Permutation-Based Hash and Extendable-Output Functions." FIPS 202, 2015.</w:t>
      </w:r>
    </w:p>
    <w:p>
      <w:pPr>
        <w:spacing w:after="150"/>
      </w:pPr>
      <w:r>
        <w:rPr>
          <w:b/>
          <w:bCs/>
        </w:rPr>
        <w:t xml:space="preserve">[9] </w:t>
      </w:r>
      <w:r>
        <w:t xml:space="preserve">NIST. "SHA-3 Derived Functions: cSHAKE, KMAC, TupleHash, and ParallelHash." SP 800-185, 2016.</w:t>
      </w:r>
    </w:p>
    <w:p>
      <w:pPr>
        <w:spacing w:after="150"/>
      </w:pPr>
      <w:r>
        <w:rPr>
          <w:b/>
          <w:bCs/>
        </w:rPr>
        <w:t xml:space="preserve">[10] </w:t>
      </w:r>
      <w:r>
        <w:t xml:space="preserve">Shor, P. "Algorithms for quantum computation." Proceedings of the 35th Annual Symposium on Foundations of Computer Science, 1994.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True Trust Protocol - White 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4a6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2025-11-28T14:26:04.080Z</dcterms:created>
  <dcterms:modified xsi:type="dcterms:W3CDTF">2025-11-28T14:26:04.081Z</dcterms:modified>
</cp:coreProperties>
</file>

<file path=docProps/custom.xml><?xml version="1.0" encoding="utf-8"?>
<Properties xmlns="http://schemas.openxmlformats.org/officeDocument/2006/custom-properties" xmlns:vt="http://schemas.openxmlformats.org/officeDocument/2006/docPropsVTypes"/>
</file>