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1f1f1f"/>
          <w:sz w:val="48"/>
          <w:szCs w:val="48"/>
        </w:rPr>
      </w:pPr>
      <w:bookmarkStart w:colFirst="0" w:colLast="0" w:name="_mnuhrbl2lsw4" w:id="0"/>
      <w:bookmarkEnd w:id="0"/>
      <w:r w:rsidDel="00000000" w:rsidR="00000000" w:rsidRPr="00000000">
        <w:rPr>
          <w:color w:val="1f1f1f"/>
          <w:sz w:val="48"/>
          <w:szCs w:val="48"/>
          <w:rtl w:val="0"/>
        </w:rPr>
        <w:t xml:space="preserve">Summary and Highlights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line="36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In this lesson, you have learned: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There are several features to modify views in Excel, and it is very straightforward to enter and edit data in a spreadsheet.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You can move or copy data within a worksheet or between worksheets, and you can use AutoFill to automatically enter data that is in a series or that fits a pattern.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You can format both cells and data in Excel.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 formula is made up of several component parts, and formulas can perform calculations using numbers directly or by using references to data in the worksheet.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You can use the Fill Handle in Excel to quickly copy formulas to other cells.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There are several different categories of function you can use for different purposes, and you can search for a function by name, or by category.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You can reference cells in the worksheet in your formulas by using relative, absolute, or mixed references.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You can make a formula absolute by adding a dollar symbol ($) to a cell reference.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If you get errors in your formulas, you can use the error-checking capabilities of Excel to resolve them.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460" w:lineRule="auto"/>
        <w:ind w:left="118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