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4" w:name="part-1-platform-overview"/>
    <w:p>
      <w:pPr>
        <w:pStyle w:val="Heading1"/>
      </w:pPr>
      <w:r>
        <w:t xml:space="preserve">Part 1: Platform Overview</w:t>
      </w:r>
    </w:p>
    <w:bookmarkStart w:id="30"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presentation/deployment-journey-v2.html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Section</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presentation/deployment-journey-v2.html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ims-config-prod.json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9"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w:t>
      </w:r>
      <w:r>
        <w:rPr>
          <w:i/>
          <w:iCs/>
        </w:rPr>
        <w:t xml:space="preserve"> </w:t>
      </w:r>
      <w:hyperlink r:id="rId28">
        <w:r>
          <w:rPr>
            <w:rStyle w:val="Hyperlink"/>
            <w:i/>
            <w:iCs/>
          </w:rPr>
          <w:t xml:space="preserve">Section 2 — Vendor Input &amp; Onboarding</w:t>
        </w:r>
      </w:hyperlink>
    </w:p>
    <w:bookmarkEnd w:id="29"/>
    <w:bookmarkEnd w:id="30"/>
    <w:bookmarkStart w:id="53"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1"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1"/>
    <w:bookmarkStart w:id="35"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2"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2"/>
    <w:bookmarkStart w:id="33"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3"/>
    <w:bookmarkStart w:id="34"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4"/>
    <w:bookmarkEnd w:id="35"/>
    <w:bookmarkStart w:id="36"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6"/>
    <w:bookmarkStart w:id="42"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7"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7"/>
    <w:bookmarkStart w:id="38"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8"/>
    <w:bookmarkStart w:id="39"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9"/>
    <w:bookmarkStart w:id="40"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0"/>
    <w:bookmarkStart w:id="41"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1"/>
    <w:bookmarkEnd w:id="42"/>
    <w:bookmarkStart w:id="46"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3"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3"/>
    <w:bookmarkStart w:id="44"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4"/>
    <w:bookmarkStart w:id="45"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5"/>
    <w:bookmarkEnd w:id="46"/>
    <w:bookmarkStart w:id="47"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7"/>
    <w:bookmarkStart w:id="48"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8"/>
    <w:bookmarkStart w:id="49"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9"/>
    <w:bookmarkStart w:id="52"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p>
      <w:pPr>
        <w:pStyle w:val="FirstParagraph"/>
      </w:pPr>
      <w:r>
        <w:rPr>
          <w:i/>
          <w:iCs/>
        </w:rPr>
        <w:t xml:space="preserve">Previous:</w:t>
      </w:r>
      <w:r>
        <w:rPr>
          <w:i/>
          <w:iCs/>
        </w:rPr>
        <w:t xml:space="preserve"> </w:t>
      </w:r>
      <w:hyperlink r:id="rId50">
        <w:r>
          <w:rPr>
            <w:rStyle w:val="Hyperlink"/>
            <w:i/>
            <w:iCs/>
          </w:rPr>
          <w:t xml:space="preserve">Section 1 — Architecture Overview</w:t>
        </w:r>
      </w:hyperlink>
      <w:r>
        <w:rPr>
          <w:i/>
          <w:iCs/>
        </w:rPr>
        <w:t xml:space="preserve"> </w:t>
      </w:r>
      <w:r>
        <w:rPr>
          <w:i/>
          <w:iCs/>
        </w:rPr>
        <w:t xml:space="preserve">| Next:</w:t>
      </w:r>
      <w:r>
        <w:rPr>
          <w:i/>
          <w:iCs/>
        </w:rPr>
        <w:t xml:space="preserve"> </w:t>
      </w:r>
      <w:hyperlink r:id="rId51">
        <w:r>
          <w:rPr>
            <w:rStyle w:val="Hyperlink"/>
            <w:i/>
            <w:iCs/>
          </w:rPr>
          <w:t xml:space="preserve">Section 3 — Artifact Intake &amp; Promotion</w:t>
        </w:r>
      </w:hyperlink>
    </w:p>
    <w:bookmarkEnd w:id="52"/>
    <w:bookmarkEnd w:id="53"/>
    <w:bookmarkStart w:id="119"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4"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4"/>
    <w:bookmarkStart w:id="58" w:name="infrastructure-topology"/>
    <w:p>
      <w:pPr>
        <w:pStyle w:val="Heading3"/>
      </w:pPr>
      <w:r>
        <w:t xml:space="preserve">3.2 Infrastructure Topology</w:t>
      </w:r>
    </w:p>
    <w:bookmarkStart w:id="55"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5"/>
    <w:bookmarkStart w:id="56"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6"/>
    <w:bookmarkStart w:id="57"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7"/>
    <w:bookmarkEnd w:id="58"/>
    <w:bookmarkStart w:id="62"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9"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60"/>
    <w:bookmarkStart w:id="61"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1"/>
    <w:bookmarkEnd w:id="62"/>
    <w:bookmarkStart w:id="68" w:name="input-minimal-by-design"/>
    <w:p>
      <w:pPr>
        <w:pStyle w:val="Heading3"/>
      </w:pPr>
      <w:r>
        <w:t xml:space="preserve">3.4 Input (Minimal by Design)</w:t>
      </w:r>
    </w:p>
    <w:bookmarkStart w:id="63"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3"/>
    <w:bookmarkStart w:id="64"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4"/>
    <w:bookmarkStart w:id="65"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5"/>
    <w:bookmarkStart w:id="66"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6"/>
    <w:bookmarkStart w:id="67"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7"/>
    <w:bookmarkEnd w:id="68"/>
    <w:bookmarkStart w:id="74" w:name="helm-chart-transfer-workflow"/>
    <w:p>
      <w:pPr>
        <w:pStyle w:val="Heading3"/>
      </w:pPr>
      <w:r>
        <w:t xml:space="preserve">3.5 Helm Chart Transfer Workflow</w:t>
      </w:r>
    </w:p>
    <w:p>
      <w:pPr>
        <w:pStyle w:val="FirstParagraph"/>
      </w:pPr>
      <w:r>
        <w:t xml:space="preserve">Five stages, identical structure for both Import and Promote:</w:t>
      </w:r>
    </w:p>
    <w:bookmarkStart w:id="69"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9"/>
    <w:bookmarkStart w:id="70"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70"/>
    <w:bookmarkStart w:id="71"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1"/>
    <w:bookmarkStart w:id="72"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2"/>
    <w:bookmarkStart w:id="73"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3"/>
    <w:bookmarkEnd w:id="74"/>
    <w:bookmarkStart w:id="79" w:name="quay-oci-promotion-workflow"/>
    <w:p>
      <w:pPr>
        <w:pStyle w:val="Heading3"/>
      </w:pPr>
      <w:r>
        <w:t xml:space="preserve">3.6 Quay OCI Promotion Workflow</w:t>
      </w:r>
    </w:p>
    <w:p>
      <w:pPr>
        <w:pStyle w:val="FirstParagraph"/>
      </w:pPr>
      <w:r>
        <w:t xml:space="preserve">For NFs using Quay OCI instead of Nexus:</w:t>
      </w:r>
    </w:p>
    <w:bookmarkStart w:id="75"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5"/>
    <w:bookmarkStart w:id="76"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6"/>
    <w:bookmarkStart w:id="77"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7"/>
    <w:bookmarkStart w:id="78"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8"/>
    <w:bookmarkEnd w:id="79"/>
    <w:bookmarkStart w:id="84" w:name="container-image-intake-workflow"/>
    <w:p>
      <w:pPr>
        <w:pStyle w:val="Heading3"/>
      </w:pPr>
      <w:r>
        <w:t xml:space="preserve">3.7 Container Image Intake Workflow</w:t>
      </w:r>
    </w:p>
    <w:bookmarkStart w:id="80"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80"/>
    <w:bookmarkStart w:id="81"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1"/>
    <w:bookmarkStart w:id="82"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2"/>
    <w:bookmarkStart w:id="83"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3"/>
    <w:bookmarkEnd w:id="84"/>
    <w:bookmarkStart w:id="88" w:name="credentials-configuration"/>
    <w:p>
      <w:pPr>
        <w:pStyle w:val="Heading3"/>
      </w:pPr>
      <w:r>
        <w:t xml:space="preserve">3.8 Credentials &amp; Configuration</w:t>
      </w:r>
    </w:p>
    <w:bookmarkStart w:id="85"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5"/>
    <w:bookmarkStart w:id="86"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6"/>
    <w:bookmarkStart w:id="87"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7"/>
    <w:bookmarkEnd w:id="88"/>
    <w:bookmarkStart w:id="93" w:name="naming-conventions"/>
    <w:p>
      <w:pPr>
        <w:pStyle w:val="Heading3"/>
      </w:pPr>
      <w:r>
        <w:t xml:space="preserve">3.9 Naming Conventions</w:t>
      </w:r>
    </w:p>
    <w:bookmarkStart w:id="89"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9"/>
    <w:bookmarkStart w:id="90"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90"/>
    <w:bookmarkStart w:id="91"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1"/>
    <w:bookmarkStart w:id="92"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2"/>
    <w:bookmarkEnd w:id="93"/>
    <w:bookmarkStart w:id="97" w:name="idempotency-error-handling"/>
    <w:p>
      <w:pPr>
        <w:pStyle w:val="Heading3"/>
      </w:pPr>
      <w:r>
        <w:t xml:space="preserve">3.10 Idempotency &amp; Error Handling</w:t>
      </w:r>
    </w:p>
    <w:bookmarkStart w:id="94"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4"/>
    <w:bookmarkStart w:id="95"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5"/>
    <w:bookmarkStart w:id="96"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6"/>
    <w:bookmarkEnd w:id="97"/>
    <w:bookmarkStart w:id="101" w:name="promotion-scenarios-quick-reference"/>
    <w:p>
      <w:pPr>
        <w:pStyle w:val="Heading3"/>
      </w:pPr>
      <w:r>
        <w:t xml:space="preserve">3.11 Promotion Scenarios (Quick Reference)</w:t>
      </w:r>
    </w:p>
    <w:bookmarkStart w:id="98"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8"/>
    <w:bookmarkStart w:id="99"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9"/>
    <w:bookmarkStart w:id="100"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100"/>
    <w:bookmarkEnd w:id="101"/>
    <w:bookmarkStart w:id="107" w:name="reporting-observability"/>
    <w:p>
      <w:pPr>
        <w:pStyle w:val="Heading3"/>
      </w:pPr>
      <w:r>
        <w:t xml:space="preserve">3.12 Reporting &amp; Observability</w:t>
      </w:r>
    </w:p>
    <w:p>
      <w:pPr>
        <w:pStyle w:val="FirstParagraph"/>
      </w:pPr>
      <w:r>
        <w:t xml:space="preserve">Every execution produces:</w:t>
      </w:r>
    </w:p>
    <w:bookmarkStart w:id="102"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2"/>
    <w:bookmarkStart w:id="103"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3"/>
    <w:bookmarkStart w:id="104"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4"/>
    <w:bookmarkStart w:id="105"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5"/>
    <w:bookmarkStart w:id="106"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6"/>
    <w:bookmarkEnd w:id="107"/>
    <w:bookmarkStart w:id="108"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8"/>
    <w:bookmarkStart w:id="115"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9"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9"/>
    <w:bookmarkStart w:id="110"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10"/>
    <w:bookmarkStart w:id="111"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1"/>
    <w:bookmarkStart w:id="112"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2"/>
    <w:bookmarkStart w:id="113"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3"/>
    <w:bookmarkStart w:id="114"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4"/>
    <w:bookmarkEnd w:id="115"/>
    <w:bookmarkStart w:id="116"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6"/>
    <w:bookmarkStart w:id="118"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p>
      <w:pPr>
        <w:pStyle w:val="FirstParagraph"/>
      </w:pPr>
      <w:r>
        <w:rPr>
          <w:i/>
          <w:iCs/>
        </w:rPr>
        <w:t xml:space="preserve">Previous:</w:t>
      </w:r>
      <w:r>
        <w:rPr>
          <w:i/>
          <w:iCs/>
        </w:rPr>
        <w:t xml:space="preserve"> </w:t>
      </w:r>
      <w:hyperlink r:id="rId28">
        <w:r>
          <w:rPr>
            <w:rStyle w:val="Hyperlink"/>
            <w:i/>
            <w:iCs/>
          </w:rPr>
          <w:t xml:space="preserve">Section 2 — Vendor Onboarding</w:t>
        </w:r>
      </w:hyperlink>
      <w:r>
        <w:rPr>
          <w:i/>
          <w:iCs/>
        </w:rPr>
        <w:t xml:space="preserve"> </w:t>
      </w:r>
      <w:r>
        <w:rPr>
          <w:i/>
          <w:iCs/>
        </w:rPr>
        <w:t xml:space="preserve">| Next:</w:t>
      </w:r>
      <w:r>
        <w:rPr>
          <w:i/>
          <w:iCs/>
        </w:rPr>
        <w:t xml:space="preserve"> </w:t>
      </w:r>
      <w:hyperlink r:id="rId117">
        <w:r>
          <w:rPr>
            <w:rStyle w:val="Hyperlink"/>
            <w:i/>
            <w:iCs/>
          </w:rPr>
          <w:t xml:space="preserve">Section 4 — Network Design &amp; IP Allocation</w:t>
        </w:r>
      </w:hyperlink>
    </w:p>
    <w:bookmarkEnd w:id="118"/>
    <w:bookmarkEnd w:id="119"/>
    <w:bookmarkStart w:id="153"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20"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20"/>
    <w:bookmarkStart w:id="123" w:name="ciq-generation"/>
    <w:p>
      <w:pPr>
        <w:pStyle w:val="Heading3"/>
      </w:pPr>
      <w:r>
        <w:t xml:space="preserve">4.2 CIQ Generation</w:t>
      </w:r>
    </w:p>
    <w:bookmarkStart w:id="121"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21"/>
    <w:bookmarkStart w:id="122"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2"/>
    <w:bookmarkEnd w:id="123"/>
    <w:bookmarkStart w:id="124"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4"/>
    <w:bookmarkStart w:id="129"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5"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5"/>
    <w:bookmarkStart w:id="126"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6"/>
    <w:bookmarkStart w:id="127"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7"/>
    <w:bookmarkStart w:id="128"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8"/>
    <w:bookmarkEnd w:id="129"/>
    <w:bookmarkStart w:id="132" w:name="network-segments"/>
    <w:p>
      <w:pPr>
        <w:pStyle w:val="Heading3"/>
      </w:pPr>
      <w:r>
        <w:t xml:space="preserve">4.5 Network Segments</w:t>
      </w:r>
    </w:p>
    <w:bookmarkStart w:id="130"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30"/>
    <w:bookmarkStart w:id="131"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31"/>
    <w:bookmarkEnd w:id="132"/>
    <w:bookmarkStart w:id="137"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3"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3"/>
    <w:bookmarkStart w:id="134"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4"/>
    <w:bookmarkStart w:id="135"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5"/>
    <w:bookmarkStart w:id="136"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6"/>
    <w:bookmarkEnd w:id="137"/>
    <w:bookmarkStart w:id="141" w:name="hub-infoblox-integration"/>
    <w:p>
      <w:pPr>
        <w:pStyle w:val="Heading3"/>
      </w:pPr>
      <w:r>
        <w:t xml:space="preserve">4.7 Hub ↔ Infoblox Integration</w:t>
      </w:r>
    </w:p>
    <w:bookmarkStart w:id="138"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8"/>
    <w:bookmarkStart w:id="139"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9"/>
    <w:bookmarkStart w:id="140"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40"/>
    <w:bookmarkEnd w:id="141"/>
    <w:bookmarkStart w:id="143"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2"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2"/>
    <w:bookmarkEnd w:id="143"/>
    <w:bookmarkStart w:id="148"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4"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4"/>
    <w:bookmarkStart w:id="145"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5"/>
    <w:bookmarkStart w:id="146"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6"/>
    <w:bookmarkStart w:id="147"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7"/>
    <w:bookmarkEnd w:id="148"/>
    <w:bookmarkStart w:id="150"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9"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9"/>
    <w:bookmarkEnd w:id="150"/>
    <w:bookmarkStart w:id="152"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p>
      <w:pPr>
        <w:pStyle w:val="FirstParagraph"/>
      </w:pPr>
      <w:r>
        <w:rPr>
          <w:i/>
          <w:iCs/>
        </w:rPr>
        <w:t xml:space="preserve">Previous:</w:t>
      </w:r>
      <w:r>
        <w:rPr>
          <w:i/>
          <w:iCs/>
        </w:rPr>
        <w:t xml:space="preserve"> </w:t>
      </w:r>
      <w:hyperlink r:id="rId51">
        <w:r>
          <w:rPr>
            <w:rStyle w:val="Hyperlink"/>
            <w:i/>
            <w:iCs/>
          </w:rPr>
          <w:t xml:space="preserve">Section 3 — Artifact Intake &amp; Promotion</w:t>
        </w:r>
      </w:hyperlink>
      <w:r>
        <w:rPr>
          <w:i/>
          <w:iCs/>
        </w:rPr>
        <w:t xml:space="preserve"> </w:t>
      </w:r>
      <w:r>
        <w:rPr>
          <w:i/>
          <w:iCs/>
        </w:rPr>
        <w:t xml:space="preserve">| Next:</w:t>
      </w:r>
      <w:r>
        <w:rPr>
          <w:i/>
          <w:iCs/>
        </w:rPr>
        <w:t xml:space="preserve"> </w:t>
      </w:r>
      <w:hyperlink r:id="rId151">
        <w:r>
          <w:rPr>
            <w:rStyle w:val="Hyperlink"/>
            <w:i/>
            <w:iCs/>
          </w:rPr>
          <w:t xml:space="preserve">Section 5 — Data Models &amp; Template System</w:t>
        </w:r>
      </w:hyperlink>
    </w:p>
    <w:bookmarkEnd w:id="152"/>
    <w:bookmarkEnd w:id="153"/>
    <w:bookmarkEnd w:id="154"/>
    <w:bookmarkStart w:id="230" w:name="part-2-data-model-resolution"/>
    <w:p>
      <w:pPr>
        <w:pStyle w:val="Heading1"/>
      </w:pPr>
      <w:r>
        <w:t xml:space="preserve">Part 2: Data Model &amp; Resolution</w:t>
      </w:r>
    </w:p>
    <w:bookmarkStart w:id="198"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ims-config-prod.json</w:t>
      </w:r>
      <w:r>
        <w:t xml:space="preserve"> </w:t>
      </w:r>
      <w:r>
        <w:rPr>
          <w:b/>
          <w:bCs/>
        </w:rPr>
        <w:t xml:space="preserve">Key files:</w:t>
      </w:r>
      <w:r>
        <w:t xml:space="preserve"> </w:t>
      </w:r>
      <w:r>
        <w:rPr>
          <w:rStyle w:val="VerbatimChar"/>
        </w:rPr>
        <w:t xml:space="preserve">ims-config-prod.json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5"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ims-config-prod.json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5"/>
    <w:bookmarkStart w:id="157"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6"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6"/>
    <w:bookmarkEnd w:id="157"/>
    <w:bookmarkStart w:id="162"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8"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8"/>
    <w:bookmarkStart w:id="159"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9"/>
    <w:bookmarkStart w:id="160"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60"/>
    <w:bookmarkStart w:id="161"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61"/>
    <w:bookmarkEnd w:id="162"/>
    <w:bookmarkStart w:id="166" w:name="deployment-ordering"/>
    <w:p>
      <w:pPr>
        <w:pStyle w:val="Heading3"/>
      </w:pPr>
      <w:r>
        <w:t xml:space="preserve">5.4 Deployment Ordering</w:t>
      </w:r>
    </w:p>
    <w:bookmarkStart w:id="163"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3"/>
    <w:bookmarkStart w:id="164"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4"/>
    <w:bookmarkStart w:id="165"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5"/>
    <w:bookmarkEnd w:id="166"/>
    <w:bookmarkStart w:id="167"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7"/>
    <w:bookmarkStart w:id="172"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8"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8"/>
    <w:bookmarkStart w:id="169"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9"/>
    <w:bookmarkStart w:id="170"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70"/>
    <w:bookmarkStart w:id="171"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71"/>
    <w:bookmarkEnd w:id="172"/>
    <w:bookmarkStart w:id="176" w:name="placeholder-system"/>
    <w:p>
      <w:pPr>
        <w:pStyle w:val="Heading3"/>
      </w:pPr>
      <w:r>
        <w:t xml:space="preserve">5.7 Placeholder System</w:t>
      </w:r>
    </w:p>
    <w:bookmarkStart w:id="173"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3"/>
    <w:bookmarkStart w:id="174"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4"/>
    <w:bookmarkStart w:id="175"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5"/>
    <w:bookmarkEnd w:id="176"/>
    <w:bookmarkStart w:id="185" w:name="support-functions-reference-all-24"/>
    <w:p>
      <w:pPr>
        <w:pStyle w:val="Heading3"/>
      </w:pPr>
      <w:r>
        <w:t xml:space="preserve">5.8 Support Functions Reference (All 24)</w:t>
      </w:r>
    </w:p>
    <w:bookmarkStart w:id="177"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7"/>
    <w:bookmarkStart w:id="178"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8"/>
    <w:bookmarkStart w:id="179"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9"/>
    <w:bookmarkStart w:id="180"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80"/>
    <w:bookmarkStart w:id="181"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81"/>
    <w:bookmarkStart w:id="182"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2"/>
    <w:bookmarkStart w:id="183"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3"/>
    <w:bookmarkStart w:id="184"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4"/>
    <w:bookmarkEnd w:id="185"/>
    <w:bookmarkStart w:id="186"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6"/>
    <w:bookmarkStart w:id="191" w:name="validation-rules-1"/>
    <w:p>
      <w:pPr>
        <w:pStyle w:val="Heading3"/>
      </w:pPr>
      <w:r>
        <w:t xml:space="preserve">5.10 Validation Rules</w:t>
      </w:r>
    </w:p>
    <w:p>
      <w:pPr>
        <w:pStyle w:val="FirstParagraph"/>
      </w:pPr>
      <w:r>
        <w:t xml:space="preserve">Enforced by the onboarding portal when a blueprint is created or imported.</w:t>
      </w:r>
    </w:p>
    <w:bookmarkStart w:id="187"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7"/>
    <w:bookmarkStart w:id="188"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8"/>
    <w:bookmarkStart w:id="189"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9"/>
    <w:bookmarkStart w:id="190"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90"/>
    <w:bookmarkEnd w:id="191"/>
    <w:bookmarkStart w:id="192"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2"/>
    <w:bookmarkStart w:id="193"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3"/>
    <w:bookmarkStart w:id="194"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4"/>
    <w:bookmarkStart w:id="197"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w:t>
      </w:r>
      <w:r>
        <w:t xml:space="preserve"> </w:t>
      </w:r>
      <w:hyperlink r:id="rId195">
        <w:r>
          <w:rPr>
            <w:rStyle w:val="Hyperlink"/>
          </w:rPr>
          <w:t xml:space="preserve">Section 6b Section 8.2</w:t>
        </w:r>
      </w:hyperlink>
      <w:r>
        <w:t xml:space="preserve"> </w:t>
      </w:r>
      <w:r>
        <w:t xml:space="preserve">for the full requirement and rationale.</w:t>
      </w:r>
    </w:p>
    <w:p>
      <w:r>
        <w:pict>
          <v:rect style="width:0;height:1.5pt" o:hralign="center" o:hrstd="t" o:hr="t"/>
        </w:pict>
      </w:r>
    </w:p>
    <w:p>
      <w:pPr>
        <w:pStyle w:val="FirstParagraph"/>
      </w:pPr>
      <w:r>
        <w:rPr>
          <w:i/>
          <w:iCs/>
        </w:rPr>
        <w:t xml:space="preserve">Previous:</w:t>
      </w:r>
      <w:r>
        <w:rPr>
          <w:i/>
          <w:iCs/>
        </w:rPr>
        <w:t xml:space="preserve"> </w:t>
      </w:r>
      <w:hyperlink r:id="rId117">
        <w:r>
          <w:rPr>
            <w:rStyle w:val="Hyperlink"/>
            <w:i/>
            <w:iCs/>
          </w:rPr>
          <w:t xml:space="preserve">Section 4 — Network Design &amp; IP Allocation</w:t>
        </w:r>
      </w:hyperlink>
      <w:r>
        <w:rPr>
          <w:i/>
          <w:iCs/>
        </w:rPr>
        <w:t xml:space="preserve"> </w:t>
      </w:r>
      <w:r>
        <w:rPr>
          <w:i/>
          <w:iCs/>
        </w:rPr>
        <w:t xml:space="preserve">| Next:</w:t>
      </w:r>
      <w:r>
        <w:rPr>
          <w:i/>
          <w:iCs/>
        </w:rPr>
        <w:t xml:space="preserve"> </w:t>
      </w:r>
      <w:hyperlink r:id="rId196">
        <w:r>
          <w:rPr>
            <w:rStyle w:val="Hyperlink"/>
            <w:i/>
            <w:iCs/>
          </w:rPr>
          <w:t xml:space="preserve">Section 5a — Values Resolution Pipeline</w:t>
        </w:r>
      </w:hyperlink>
    </w:p>
    <w:bookmarkEnd w:id="197"/>
    <w:bookmarkEnd w:id="198"/>
    <w:bookmarkStart w:id="229"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9"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9"/>
    <w:bookmarkStart w:id="205"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200"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ims-config-prod.json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200"/>
    <w:bookmarkStart w:id="201"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201"/>
    <w:bookmarkStart w:id="202"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202"/>
    <w:bookmarkStart w:id="203"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203"/>
    <w:bookmarkStart w:id="204"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4"/>
    <w:bookmarkEnd w:id="205"/>
    <w:bookmarkStart w:id="214"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6"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ims-config-prod.json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6"/>
    <w:bookmarkStart w:id="207"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7"/>
    <w:bookmarkStart w:id="208"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8"/>
    <w:bookmarkStart w:id="209"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9"/>
    <w:bookmarkStart w:id="210"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10"/>
    <w:bookmarkStart w:id="211"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11"/>
    <w:bookmarkStart w:id="212"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12"/>
    <w:bookmarkStart w:id="213"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13"/>
    <w:bookmarkEnd w:id="214"/>
    <w:bookmarkStart w:id="217"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5"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5"/>
    <w:bookmarkStart w:id="216"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6"/>
    <w:bookmarkEnd w:id="217"/>
    <w:bookmarkStart w:id="218"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8"/>
    <w:bookmarkStart w:id="221"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9"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9"/>
    <w:bookmarkStart w:id="220"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20"/>
    <w:bookmarkEnd w:id="221"/>
    <w:bookmarkStart w:id="226"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22"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22"/>
    <w:bookmarkStart w:id="223"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23"/>
    <w:bookmarkStart w:id="224"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4"/>
    <w:bookmarkStart w:id="225"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5"/>
    <w:bookmarkEnd w:id="226"/>
    <w:bookmarkStart w:id="228"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p>
      <w:pPr>
        <w:pStyle w:val="FirstParagraph"/>
      </w:pPr>
      <w:r>
        <w:rPr>
          <w:i/>
          <w:iCs/>
        </w:rPr>
        <w:t xml:space="preserve">Previous:</w:t>
      </w:r>
      <w:r>
        <w:rPr>
          <w:i/>
          <w:iCs/>
        </w:rPr>
        <w:t xml:space="preserve"> </w:t>
      </w:r>
      <w:hyperlink r:id="rId151">
        <w:r>
          <w:rPr>
            <w:rStyle w:val="Hyperlink"/>
            <w:i/>
            <w:iCs/>
          </w:rPr>
          <w:t xml:space="preserve">Section 5 — Data Models &amp; Template System</w:t>
        </w:r>
      </w:hyperlink>
      <w:r>
        <w:rPr>
          <w:i/>
          <w:iCs/>
        </w:rPr>
        <w:t xml:space="preserve"> </w:t>
      </w:r>
      <w:r>
        <w:rPr>
          <w:i/>
          <w:iCs/>
        </w:rPr>
        <w:t xml:space="preserve">| Next:</w:t>
      </w:r>
      <w:r>
        <w:rPr>
          <w:i/>
          <w:iCs/>
        </w:rPr>
        <w:t xml:space="preserve"> </w:t>
      </w:r>
      <w:hyperlink r:id="rId227">
        <w:r>
          <w:rPr>
            <w:rStyle w:val="Hyperlink"/>
            <w:i/>
            <w:iCs/>
          </w:rPr>
          <w:t xml:space="preserve">Section 6 — Deployment &amp; Rollback</w:t>
        </w:r>
      </w:hyperlink>
    </w:p>
    <w:bookmarkEnd w:id="228"/>
    <w:bookmarkEnd w:id="229"/>
    <w:bookmarkEnd w:id="230"/>
    <w:bookmarkStart w:id="410" w:name="part-3-deployment-operations"/>
    <w:p>
      <w:pPr>
        <w:pStyle w:val="Heading1"/>
      </w:pPr>
      <w:r>
        <w:t xml:space="preserve">Part 3: Deployment Operations</w:t>
      </w:r>
    </w:p>
    <w:bookmarkStart w:id="28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hyperlink r:id="rId231">
        <w:r>
          <w:rPr>
            <w:rStyle w:val="Hyperlink"/>
          </w:rPr>
          <w:t xml:space="preserve">Section 6a</w:t>
        </w:r>
      </w:hyperlink>
      <w:r>
        <w:t xml:space="preserve"> </w:t>
      </w:r>
      <w:r>
        <w:t xml:space="preserve">has every ArgoCD API call and git command.</w:t>
      </w:r>
      <w:r>
        <w:t xml:space="preserve"> </w:t>
      </w:r>
      <w:hyperlink r:id="rId195">
        <w:r>
          <w:rPr>
            <w:rStyle w:val="Hyperlink"/>
          </w:rPr>
          <w:t xml:space="preserve">Section 6b</w:t>
        </w:r>
      </w:hyperlink>
      <w:r>
        <w:t xml:space="preserve"> </w:t>
      </w:r>
      <w:r>
        <w:t xml:space="preserve">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hyperlink r:id="rId231">
        <w:r>
          <w:rPr>
            <w:rStyle w:val="Hyperlink"/>
            <w:b/>
            <w:bCs/>
          </w:rPr>
          <w:t xml:space="preserve">Section 6a</w:t>
        </w:r>
      </w:hyperlink>
      <w:r>
        <w:t xml:space="preserve"> </w:t>
      </w:r>
      <w:r>
        <w:t xml:space="preserve">| Exact curl commands and git operations for every use case | Building the orchestrator |</w:t>
      </w:r>
      <w:r>
        <w:t xml:space="preserve"> </w:t>
      </w:r>
      <w:r>
        <w:t xml:space="preserve">|</w:t>
      </w:r>
      <w:r>
        <w:t xml:space="preserve"> </w:t>
      </w:r>
      <w:hyperlink r:id="rId195">
        <w:r>
          <w:rPr>
            <w:rStyle w:val="Hyperlink"/>
            <w:b/>
            <w:bCs/>
          </w:rPr>
          <w:t xml:space="preserve">Section 6b</w:t>
        </w:r>
      </w:hyperlink>
      <w:r>
        <w:t xml:space="preserve"> </w:t>
      </w:r>
      <w:r>
        <w:t xml:space="preserve">| 8-stage pipeline spec, acceptance criteria, NFRs | Planning and scoping work |</w:t>
      </w:r>
    </w:p>
    <w:p>
      <w:r>
        <w:pict>
          <v:rect style="width:0;height:1.5pt" o:hralign="center" o:hrstd="t" o:hr="t"/>
        </w:pict>
      </w:r>
    </w:p>
    <w:bookmarkStart w:id="232"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32"/>
    <w:bookmarkStart w:id="239" w:name="hub-api-schema"/>
    <w:p>
      <w:pPr>
        <w:pStyle w:val="Heading3"/>
      </w:pPr>
      <w:r>
        <w:t xml:space="preserve">6.2 Hub API Schema</w:t>
      </w:r>
    </w:p>
    <w:bookmarkStart w:id="233"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33"/>
    <w:bookmarkStart w:id="234"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34"/>
    <w:bookmarkStart w:id="235"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35"/>
    <w:bookmarkStart w:id="236"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6"/>
    <w:bookmarkStart w:id="237"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7"/>
    <w:bookmarkStart w:id="238"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8"/>
    <w:bookmarkEnd w:id="239"/>
    <w:bookmarkStart w:id="243" w:name="state-machine"/>
    <w:p>
      <w:pPr>
        <w:pStyle w:val="Heading3"/>
      </w:pPr>
      <w:r>
        <w:t xml:space="preserve">6.3 State Machine</w:t>
      </w:r>
    </w:p>
    <w:bookmarkStart w:id="240"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40"/>
    <w:bookmarkStart w:id="241"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41"/>
    <w:bookmarkStart w:id="242"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42"/>
    <w:bookmarkEnd w:id="243"/>
    <w:bookmarkStart w:id="250" w:name="deployment-flow-step-by-step"/>
    <w:p>
      <w:pPr>
        <w:pStyle w:val="Heading3"/>
      </w:pPr>
      <w:r>
        <w:t xml:space="preserve">6.4 Deployment Flow — Step by Step</w:t>
      </w:r>
    </w:p>
    <w:bookmarkStart w:id="244"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44"/>
    <w:bookmarkStart w:id="245"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45"/>
    <w:bookmarkStart w:id="246"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6"/>
    <w:bookmarkStart w:id="247"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7"/>
    <w:bookmarkStart w:id="248"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8"/>
    <w:bookmarkStart w:id="249"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9"/>
    <w:bookmarkEnd w:id="250"/>
    <w:bookmarkStart w:id="256"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51"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51"/>
    <w:bookmarkStart w:id="252"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52"/>
    <w:bookmarkStart w:id="253"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53"/>
    <w:bookmarkStart w:id="254"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54"/>
    <w:bookmarkStart w:id="255" w:name="key-operational-points"/>
    <w:p>
      <w:pPr>
        <w:pStyle w:val="Heading4"/>
      </w:pPr>
      <w:r>
        <w:t xml:space="preserve">Key Operational Points</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55"/>
    <w:bookmarkEnd w:id="256"/>
    <w:bookmarkStart w:id="260"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7"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7"/>
    <w:bookmarkStart w:id="258"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8"/>
    <w:bookmarkStart w:id="259"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9"/>
    <w:bookmarkEnd w:id="260"/>
    <w:bookmarkStart w:id="264" w:name="rollback-flow"/>
    <w:p>
      <w:pPr>
        <w:pStyle w:val="Heading3"/>
      </w:pPr>
      <w:r>
        <w:t xml:space="preserve">6.6 Rollback Flow</w:t>
      </w:r>
    </w:p>
    <w:bookmarkStart w:id="261"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61"/>
    <w:bookmarkStart w:id="262"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62"/>
    <w:bookmarkStart w:id="263"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63"/>
    <w:bookmarkEnd w:id="264"/>
    <w:bookmarkStart w:id="269" w:name="secrets-management"/>
    <w:p>
      <w:pPr>
        <w:pStyle w:val="Heading3"/>
      </w:pPr>
      <w:r>
        <w:t xml:space="preserve">6.7 Secrets Management</w:t>
      </w:r>
    </w:p>
    <w:bookmarkStart w:id="265"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65"/>
    <w:bookmarkStart w:id="266"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6"/>
    <w:bookmarkStart w:id="267"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7"/>
    <w:bookmarkStart w:id="268"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8"/>
    <w:bookmarkEnd w:id="269"/>
    <w:bookmarkStart w:id="271"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70"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70"/>
    <w:bookmarkEnd w:id="271"/>
    <w:bookmarkStart w:id="276" w:name="use-cases"/>
    <w:p>
      <w:pPr>
        <w:pStyle w:val="Heading3"/>
      </w:pPr>
      <w:r>
        <w:t xml:space="preserve">6.9 Use Cases</w:t>
      </w:r>
    </w:p>
    <w:bookmarkStart w:id="272"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72"/>
    <w:bookmarkStart w:id="273"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73"/>
    <w:bookmarkStart w:id="274"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74"/>
    <w:bookmarkStart w:id="275"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75"/>
    <w:bookmarkEnd w:id="276"/>
    <w:bookmarkStart w:id="278"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7"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7"/>
    <w:bookmarkEnd w:id="278"/>
    <w:bookmarkStart w:id="279"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9"/>
    <w:bookmarkStart w:id="286"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80"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80"/>
    <w:bookmarkStart w:id="281"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81"/>
    <w:bookmarkStart w:id="282"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82"/>
    <w:bookmarkStart w:id="283"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83"/>
    <w:bookmarkStart w:id="284"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84"/>
    <w:bookmarkStart w:id="285"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85"/>
    <w:bookmarkEnd w:id="286"/>
    <w:bookmarkStart w:id="28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p>
      <w:pPr>
        <w:pStyle w:val="FirstParagraph"/>
      </w:pPr>
      <w:r>
        <w:rPr>
          <w:i/>
          <w:iCs/>
        </w:rPr>
        <w:t xml:space="preserve">Previous:</w:t>
      </w:r>
      <w:r>
        <w:rPr>
          <w:i/>
          <w:iCs/>
        </w:rPr>
        <w:t xml:space="preserve"> </w:t>
      </w:r>
      <w:hyperlink r:id="rId196">
        <w:r>
          <w:rPr>
            <w:rStyle w:val="Hyperlink"/>
            <w:i/>
            <w:iCs/>
          </w:rPr>
          <w:t xml:space="preserve">Section 5a — Values Resolution Pipeline</w:t>
        </w:r>
      </w:hyperlink>
      <w:r>
        <w:rPr>
          <w:i/>
          <w:iCs/>
        </w:rPr>
        <w:t xml:space="preserve"> </w:t>
      </w:r>
      <w:r>
        <w:rPr>
          <w:i/>
          <w:iCs/>
        </w:rPr>
        <w:t xml:space="preserve">| Next:</w:t>
      </w:r>
      <w:r>
        <w:rPr>
          <w:i/>
          <w:iCs/>
        </w:rPr>
        <w:t xml:space="preserve"> </w:t>
      </w:r>
      <w:hyperlink r:id="rId231">
        <w:r>
          <w:rPr>
            <w:rStyle w:val="Hyperlink"/>
            <w:i/>
            <w:iCs/>
          </w:rPr>
          <w:t xml:space="preserve">Section 6a — Commands Reference</w:t>
        </w:r>
      </w:hyperlink>
      <w:r>
        <w:rPr>
          <w:i/>
          <w:iCs/>
        </w:rPr>
        <w:t xml:space="preserve"> </w:t>
      </w:r>
      <w:r>
        <w:rPr>
          <w:i/>
          <w:iCs/>
        </w:rPr>
        <w:t xml:space="preserve">→</w:t>
      </w:r>
      <w:r>
        <w:rPr>
          <w:i/>
          <w:iCs/>
        </w:rPr>
        <w:t xml:space="preserve"> </w:t>
      </w:r>
      <w:hyperlink r:id="rId195">
        <w:r>
          <w:rPr>
            <w:rStyle w:val="Hyperlink"/>
            <w:i/>
            <w:iCs/>
          </w:rPr>
          <w:t xml:space="preserve">Section 6b — Developer Requirements</w:t>
        </w:r>
      </w:hyperlink>
      <w:r>
        <w:rPr>
          <w:i/>
          <w:iCs/>
        </w:rPr>
        <w:t xml:space="preserve"> </w:t>
      </w:r>
      <w:r>
        <w:rPr>
          <w:i/>
          <w:iCs/>
        </w:rPr>
        <w:t xml:space="preserve">→</w:t>
      </w:r>
      <w:r>
        <w:rPr>
          <w:i/>
          <w:iCs/>
        </w:rPr>
        <w:t xml:space="preserve"> </w:t>
      </w:r>
      <w:hyperlink r:id="rId287">
        <w:r>
          <w:rPr>
            <w:rStyle w:val="Hyperlink"/>
            <w:i/>
            <w:iCs/>
          </w:rPr>
          <w:t xml:space="preserve">Section 7 — API Reference</w:t>
        </w:r>
      </w:hyperlink>
    </w:p>
    <w:bookmarkEnd w:id="288"/>
    <w:bookmarkEnd w:id="289"/>
    <w:bookmarkStart w:id="36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9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90"/>
    <w:bookmarkStart w:id="29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91"/>
    <w:bookmarkStart w:id="29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9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92"/>
    <w:bookmarkStart w:id="29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93"/>
    <w:bookmarkStart w:id="29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94"/>
    <w:bookmarkStart w:id="29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95"/>
    <w:bookmarkStart w:id="29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96"/>
    <w:bookmarkStart w:id="29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7"/>
    <w:bookmarkEnd w:id="298"/>
    <w:bookmarkStart w:id="30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9"/>
    <w:bookmarkStart w:id="30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300"/>
    <w:bookmarkStart w:id="30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301"/>
    <w:bookmarkEnd w:id="302"/>
    <w:bookmarkStart w:id="30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30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303"/>
    <w:bookmarkStart w:id="30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304"/>
    <w:bookmarkStart w:id="30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305"/>
    <w:bookmarkEnd w:id="306"/>
    <w:bookmarkStart w:id="30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7"/>
    <w:bookmarkStart w:id="30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8"/>
    <w:bookmarkEnd w:id="309"/>
    <w:bookmarkStart w:id="31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1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10"/>
    <w:bookmarkStart w:id="31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11"/>
    <w:bookmarkStart w:id="31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12"/>
    <w:bookmarkStart w:id="31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13"/>
    <w:bookmarkStart w:id="31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14"/>
    <w:bookmarkEnd w:id="315"/>
    <w:bookmarkStart w:id="31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1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16"/>
    <w:bookmarkStart w:id="31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7"/>
    <w:bookmarkStart w:id="31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8"/>
    <w:bookmarkEnd w:id="319"/>
    <w:bookmarkStart w:id="32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2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20"/>
    <w:bookmarkStart w:id="32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21"/>
    <w:bookmarkStart w:id="32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22"/>
    <w:bookmarkStart w:id="32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23"/>
    <w:bookmarkEnd w:id="324"/>
    <w:bookmarkStart w:id="32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2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25"/>
    <w:bookmarkStart w:id="32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26"/>
    <w:bookmarkStart w:id="32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7"/>
    <w:bookmarkEnd w:id="328"/>
    <w:bookmarkStart w:id="33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9"/>
    <w:bookmarkStart w:id="33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30"/>
    <w:bookmarkStart w:id="33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31"/>
    <w:bookmarkEnd w:id="332"/>
    <w:bookmarkStart w:id="334" w:name="add-new-component"/>
    <w:p>
      <w:pPr>
        <w:pStyle w:val="Heading3"/>
      </w:pPr>
      <w:r>
        <w:t xml:space="preserve">11. Add New Component</w:t>
      </w:r>
    </w:p>
    <w:p>
      <w:pPr>
        <w:pStyle w:val="FirstParagraph"/>
      </w:pPr>
      <w:r>
        <w:t xml:space="preserve">A new component is added to an existing NF deployment.</w:t>
      </w:r>
    </w:p>
    <w:bookmarkStart w:id="33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33"/>
    <w:bookmarkEnd w:id="334"/>
    <w:bookmarkStart w:id="336" w:name="remove-component"/>
    <w:p>
      <w:pPr>
        <w:pStyle w:val="Heading3"/>
      </w:pPr>
      <w:r>
        <w:t xml:space="preserve">12. Remove Component</w:t>
      </w:r>
    </w:p>
    <w:p>
      <w:pPr>
        <w:pStyle w:val="FirstParagraph"/>
      </w:pPr>
      <w:r>
        <w:t xml:space="preserve">A component is decommissioned from the NF.</w:t>
      </w:r>
    </w:p>
    <w:bookmarkStart w:id="33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35"/>
    <w:bookmarkEnd w:id="336"/>
    <w:bookmarkStart w:id="339" w:name="dry-run-diff-preview"/>
    <w:p>
      <w:pPr>
        <w:pStyle w:val="Heading3"/>
      </w:pPr>
      <w:r>
        <w:t xml:space="preserve">13. Dry Run (Diff Preview)</w:t>
      </w:r>
    </w:p>
    <w:p>
      <w:pPr>
        <w:pStyle w:val="FirstParagraph"/>
      </w:pPr>
      <w:r>
        <w:t xml:space="preserve">Show what would change without modifying Git or the cluster.</w:t>
      </w:r>
    </w:p>
    <w:bookmarkStart w:id="33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7"/>
    <w:bookmarkStart w:id="33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8"/>
    <w:bookmarkEnd w:id="339"/>
    <w:bookmarkStart w:id="34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4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40"/>
    <w:bookmarkStart w:id="34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41"/>
    <w:bookmarkStart w:id="34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42"/>
    <w:bookmarkEnd w:id="343"/>
    <w:bookmarkStart w:id="34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44"/>
    <w:bookmarkStart w:id="350" w:name="state-recording"/>
    <w:p>
      <w:pPr>
        <w:pStyle w:val="Heading3"/>
      </w:pPr>
      <w:r>
        <w:t xml:space="preserve">16. State Recording</w:t>
      </w:r>
    </w:p>
    <w:p>
      <w:pPr>
        <w:pStyle w:val="FirstParagraph"/>
      </w:pPr>
      <w:r>
        <w:t xml:space="preserve">Every deployment operation must maintain a complete record.</w:t>
      </w:r>
    </w:p>
    <w:bookmarkStart w:id="34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45"/>
    <w:bookmarkStart w:id="34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46"/>
    <w:bookmarkStart w:id="34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7"/>
    <w:bookmarkStart w:id="34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8"/>
    <w:bookmarkStart w:id="34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9"/>
    <w:bookmarkEnd w:id="350"/>
    <w:bookmarkStart w:id="35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51"/>
    <w:bookmarkStart w:id="35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5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52"/>
    <w:bookmarkStart w:id="35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53"/>
    <w:bookmarkStart w:id="35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54"/>
    <w:bookmarkStart w:id="35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55"/>
    <w:bookmarkEnd w:id="356"/>
    <w:bookmarkStart w:id="357" w:name="configmap-rollout-trigger"/>
    <w:p>
      <w:pPr>
        <w:pStyle w:val="Heading3"/>
      </w:pPr>
      <w:r>
        <w:t xml:space="preserve">19. ConfigMap Rollout Trigger</w:t>
      </w:r>
    </w:p>
    <w:p>
      <w:pPr>
        <w:pStyle w:val="FirstParagraph"/>
      </w:pPr>
      <w:r>
        <w:t xml:space="preserve">Helm charts should include a checksum annotation — see</w:t>
      </w:r>
      <w:r>
        <w:t xml:space="preserve"> </w:t>
      </w:r>
      <w:hyperlink r:id="rId195">
        <w:r>
          <w:rPr>
            <w:rStyle w:val="Hyperlink"/>
          </w:rPr>
          <w:t xml:space="preserve">Section 6b Section 8.2</w:t>
        </w:r>
      </w:hyperlink>
      <w:r>
        <w:t xml:space="preserve"> </w:t>
      </w:r>
      <w:r>
        <w:t xml:space="preserve">for the required pattern.</w:t>
      </w:r>
    </w:p>
    <w:p>
      <w:r>
        <w:pict>
          <v:rect style="width:0;height:1.5pt" o:hralign="center" o:hrstd="t" o:hr="t"/>
        </w:pict>
      </w:r>
    </w:p>
    <w:bookmarkEnd w:id="357"/>
    <w:bookmarkStart w:id="362" w:name="argocd-api-gotchas"/>
    <w:p>
      <w:pPr>
        <w:pStyle w:val="Heading3"/>
      </w:pPr>
      <w:r>
        <w:t xml:space="preserve">20. ArgoCD API Gotchas</w:t>
      </w:r>
    </w:p>
    <w:p>
      <w:pPr>
        <w:pStyle w:val="FirstParagraph"/>
      </w:pPr>
      <w:r>
        <w:t xml:space="preserve">Discovered during testing. Critical for production implementation.</w:t>
      </w:r>
    </w:p>
    <w:bookmarkStart w:id="35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8"/>
    <w:bookmarkStart w:id="35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9"/>
    <w:bookmarkStart w:id="36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60"/>
    <w:bookmarkStart w:id="36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p>
      <w:pPr>
        <w:pStyle w:val="FirstParagraph"/>
      </w:pPr>
      <w:r>
        <w:rPr>
          <w:i/>
          <w:iCs/>
        </w:rPr>
        <w:t xml:space="preserve">Previous:</w:t>
      </w:r>
      <w:r>
        <w:rPr>
          <w:i/>
          <w:iCs/>
        </w:rPr>
        <w:t xml:space="preserve"> </w:t>
      </w:r>
      <w:hyperlink r:id="rId227">
        <w:r>
          <w:rPr>
            <w:rStyle w:val="Hyperlink"/>
            <w:i/>
            <w:iCs/>
          </w:rPr>
          <w:t xml:space="preserve">Section 6 — Deployment &amp; Rollback Design</w:t>
        </w:r>
      </w:hyperlink>
      <w:r>
        <w:rPr>
          <w:i/>
          <w:iCs/>
        </w:rPr>
        <w:t xml:space="preserve"> </w:t>
      </w:r>
      <w:r>
        <w:rPr>
          <w:i/>
          <w:iCs/>
        </w:rPr>
        <w:t xml:space="preserve">| Next:</w:t>
      </w:r>
      <w:r>
        <w:rPr>
          <w:i/>
          <w:iCs/>
        </w:rPr>
        <w:t xml:space="preserve"> </w:t>
      </w:r>
      <w:hyperlink r:id="rId195">
        <w:r>
          <w:rPr>
            <w:rStyle w:val="Hyperlink"/>
            <w:i/>
            <w:iCs/>
          </w:rPr>
          <w:t xml:space="preserve">Section 6b — Developer Requirements</w:t>
        </w:r>
      </w:hyperlink>
    </w:p>
    <w:bookmarkEnd w:id="361"/>
    <w:bookmarkEnd w:id="362"/>
    <w:bookmarkEnd w:id="363"/>
    <w:bookmarkStart w:id="40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hyperlink r:id="rId231">
        <w:r>
          <w:rPr>
            <w:rStyle w:val="Hyperlink"/>
          </w:rPr>
          <w:t xml:space="preserve">06a — Commands Reference</w:t>
        </w:r>
      </w:hyperlink>
      <w:r>
        <w:t xml:space="preserve"> </w:t>
      </w:r>
      <w:r>
        <w:t xml:space="preserve">has the exact API calls for each operation.</w:t>
      </w:r>
    </w:p>
    <w:p>
      <w:r>
        <w:pict>
          <v:rect style="width:0;height:1.5pt" o:hralign="center" o:hrstd="t" o:hr="t"/>
        </w:pict>
      </w:r>
    </w:p>
    <w:bookmarkStart w:id="36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64"/>
    <w:bookmarkStart w:id="36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65"/>
    <w:bookmarkStart w:id="37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6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66"/>
    <w:bookmarkStart w:id="36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7"/>
    <w:bookmarkStart w:id="36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8"/>
    <w:bookmarkStart w:id="36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9"/>
    <w:bookmarkStart w:id="37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70"/>
    <w:bookmarkEnd w:id="371"/>
    <w:bookmarkStart w:id="38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7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72"/>
    <w:bookmarkStart w:id="37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73"/>
    <w:bookmarkStart w:id="37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74"/>
    <w:bookmarkStart w:id="37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75"/>
    <w:bookmarkStart w:id="37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76"/>
    <w:bookmarkStart w:id="37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7"/>
    <w:bookmarkStart w:id="37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8"/>
    <w:bookmarkStart w:id="37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9"/>
    <w:bookmarkStart w:id="38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80"/>
    <w:bookmarkStart w:id="38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81"/>
    <w:bookmarkEnd w:id="382"/>
    <w:bookmarkStart w:id="387" w:name="argocd-integration"/>
    <w:p>
      <w:pPr>
        <w:pStyle w:val="Heading3"/>
      </w:pPr>
      <w:r>
        <w:t xml:space="preserve">4. ArgoCD Integration</w:t>
      </w:r>
    </w:p>
    <w:bookmarkStart w:id="38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83"/>
    <w:bookmarkStart w:id="38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84"/>
    <w:bookmarkStart w:id="38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85"/>
    <w:bookmarkStart w:id="38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86"/>
    <w:bookmarkEnd w:id="387"/>
    <w:bookmarkStart w:id="393" w:name="git-operations-1"/>
    <w:p>
      <w:pPr>
        <w:pStyle w:val="Heading3"/>
      </w:pPr>
      <w:r>
        <w:t xml:space="preserve">5. Git Operations</w:t>
      </w:r>
    </w:p>
    <w:bookmarkStart w:id="38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8"/>
    <w:bookmarkStart w:id="38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9"/>
    <w:bookmarkStart w:id="39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90"/>
    <w:bookmarkStart w:id="39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w:t>
      </w:r>
      <w:r>
        <w:t xml:space="preserve"> </w:t>
      </w:r>
      <w:hyperlink r:id="rId231">
        <w:r>
          <w:rPr>
            <w:rStyle w:val="Hyperlink"/>
          </w:rPr>
          <w:t xml:space="preserve">06a Section 6.2a</w:t>
        </w:r>
      </w:hyperlink>
      <w:r>
        <w:t xml:space="preserve">.</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91"/>
    <w:bookmarkStart w:id="39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92"/>
    <w:bookmarkEnd w:id="393"/>
    <w:bookmarkStart w:id="39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94"/>
    <w:bookmarkStart w:id="399" w:name="state-management"/>
    <w:p>
      <w:pPr>
        <w:pStyle w:val="Heading3"/>
      </w:pPr>
      <w:r>
        <w:t xml:space="preserve">7. State Management</w:t>
      </w:r>
    </w:p>
    <w:bookmarkStart w:id="39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95"/>
    <w:bookmarkStart w:id="39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96"/>
    <w:bookmarkStart w:id="39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7"/>
    <w:bookmarkStart w:id="39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8"/>
    <w:bookmarkEnd w:id="399"/>
    <w:bookmarkStart w:id="40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40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400"/>
    <w:bookmarkStart w:id="40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401"/>
    <w:bookmarkStart w:id="40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402"/>
    <w:bookmarkStart w:id="40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403"/>
    <w:bookmarkEnd w:id="404"/>
    <w:bookmarkStart w:id="40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405"/>
    <w:bookmarkStart w:id="40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406"/>
    <w:bookmarkStart w:id="40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7"/>
    <w:bookmarkStart w:id="40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p>
      <w:pPr>
        <w:pStyle w:val="FirstParagraph"/>
      </w:pPr>
      <w:r>
        <w:rPr>
          <w:i/>
          <w:iCs/>
        </w:rPr>
        <w:t xml:space="preserve">Previous:</w:t>
      </w:r>
      <w:r>
        <w:rPr>
          <w:i/>
          <w:iCs/>
        </w:rPr>
        <w:t xml:space="preserve"> </w:t>
      </w:r>
      <w:hyperlink r:id="rId231">
        <w:r>
          <w:rPr>
            <w:rStyle w:val="Hyperlink"/>
            <w:i/>
            <w:iCs/>
          </w:rPr>
          <w:t xml:space="preserve">Section 6a — Commands Reference</w:t>
        </w:r>
      </w:hyperlink>
      <w:r>
        <w:rPr>
          <w:i/>
          <w:iCs/>
        </w:rPr>
        <w:t xml:space="preserve"> </w:t>
      </w:r>
      <w:r>
        <w:rPr>
          <w:i/>
          <w:iCs/>
        </w:rPr>
        <w:t xml:space="preserve">| Next:</w:t>
      </w:r>
      <w:r>
        <w:rPr>
          <w:i/>
          <w:iCs/>
        </w:rPr>
        <w:t xml:space="preserve"> </w:t>
      </w:r>
      <w:hyperlink r:id="rId287">
        <w:r>
          <w:rPr>
            <w:rStyle w:val="Hyperlink"/>
            <w:i/>
            <w:iCs/>
          </w:rPr>
          <w:t xml:space="preserve">Section 7 — API Reference</w:t>
        </w:r>
      </w:hyperlink>
    </w:p>
    <w:bookmarkEnd w:id="408"/>
    <w:bookmarkEnd w:id="409"/>
    <w:bookmarkEnd w:id="410"/>
    <w:bookmarkStart w:id="462" w:name="part-4-api-standards"/>
    <w:p>
      <w:pPr>
        <w:pStyle w:val="Heading1"/>
      </w:pPr>
      <w:r>
        <w:t xml:space="preserve">Part 4: API &amp; Standards</w:t>
      </w:r>
    </w:p>
    <w:bookmarkStart w:id="444"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hyperlink r:id="rId231">
        <w:r>
          <w:rPr>
            <w:rStyle w:val="Hyperlink"/>
          </w:rPr>
          <w:t xml:space="preserve">Section 6a</w:t>
        </w:r>
      </w:hyperlink>
      <w:r>
        <w:t xml:space="preserve"> </w:t>
      </w:r>
      <w:r>
        <w:t xml:space="preserve">has exact curl commands for every ArgoCD API call.</w:t>
      </w:r>
    </w:p>
    <w:p>
      <w:r>
        <w:pict>
          <v:rect style="width:0;height:1.5pt" o:hralign="center" o:hrstd="t" o:hr="t"/>
        </w:pict>
      </w:r>
    </w:p>
    <w:bookmarkStart w:id="41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11"/>
    <w:bookmarkStart w:id="41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w:t>
            </w:r>
            <w:r>
              <w:t xml:space="preserve"> </w:t>
            </w:r>
            <w:hyperlink r:id="rId231">
              <w:r>
                <w:rPr>
                  <w:rStyle w:val="Hyperlink"/>
                </w:rPr>
                <w:t xml:space="preserve">Section 6a</w:t>
              </w:r>
            </w:hyperlink>
            <w:r>
              <w:t xml:space="preserve"> </w:t>
            </w:r>
            <w:r>
              <w:t xml:space="preserve">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12"/>
    <w:bookmarkStart w:id="41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13"/>
    <w:bookmarkStart w:id="421" w:name="a-requestresponse-contracts"/>
    <w:p>
      <w:pPr>
        <w:pStyle w:val="Heading3"/>
      </w:pPr>
      <w:r>
        <w:t xml:space="preserve">7.3a Request/Response Contracts</w:t>
      </w:r>
    </w:p>
    <w:bookmarkStart w:id="41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14"/>
    <w:bookmarkStart w:id="41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15"/>
    <w:bookmarkStart w:id="41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16"/>
    <w:bookmarkStart w:id="41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w:t>
      </w:r>
      <w:r>
        <w:t xml:space="preserve"> </w:t>
      </w:r>
      <w:hyperlink r:id="rId231">
        <w:r>
          <w:rPr>
            <w:rStyle w:val="Hyperlink"/>
          </w:rPr>
          <w:t xml:space="preserve">Section 6a Section 6.2a</w:t>
        </w:r>
      </w:hyperlink>
      <w:r>
        <w:t xml:space="preserve">).</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7"/>
    <w:bookmarkStart w:id="41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8"/>
    <w:bookmarkStart w:id="41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19"/>
    <w:bookmarkStart w:id="42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20"/>
    <w:bookmarkEnd w:id="421"/>
    <w:bookmarkStart w:id="42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22"/>
    <w:bookmarkStart w:id="43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2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23"/>
    <w:bookmarkStart w:id="42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24"/>
    <w:bookmarkStart w:id="42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25"/>
    <w:bookmarkStart w:id="42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6"/>
    <w:bookmarkStart w:id="42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7"/>
    <w:bookmarkStart w:id="42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8"/>
    <w:bookmarkStart w:id="42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9"/>
    <w:bookmarkEnd w:id="430"/>
    <w:bookmarkStart w:id="435" w:name="status-enums"/>
    <w:p>
      <w:pPr>
        <w:pStyle w:val="Heading3"/>
      </w:pPr>
      <w:r>
        <w:t xml:space="preserve">7.6 Status Enums</w:t>
      </w:r>
    </w:p>
    <w:bookmarkStart w:id="43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31"/>
    <w:bookmarkStart w:id="43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32"/>
    <w:bookmarkStart w:id="43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33"/>
    <w:bookmarkStart w:id="43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34"/>
    <w:bookmarkEnd w:id="435"/>
    <w:bookmarkStart w:id="43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6"/>
    <w:bookmarkStart w:id="43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7"/>
    <w:bookmarkStart w:id="43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8"/>
    <w:bookmarkStart w:id="43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9"/>
    <w:bookmarkStart w:id="44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40"/>
    <w:bookmarkStart w:id="44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41"/>
    <w:bookmarkStart w:id="443"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p>
      <w:pPr>
        <w:pStyle w:val="FirstParagraph"/>
      </w:pPr>
      <w:r>
        <w:rPr>
          <w:i/>
          <w:iCs/>
        </w:rPr>
        <w:t xml:space="preserve">Previous:</w:t>
      </w:r>
      <w:r>
        <w:rPr>
          <w:i/>
          <w:iCs/>
        </w:rPr>
        <w:t xml:space="preserve"> </w:t>
      </w:r>
      <w:hyperlink r:id="rId195">
        <w:r>
          <w:rPr>
            <w:rStyle w:val="Hyperlink"/>
            <w:i/>
            <w:iCs/>
          </w:rPr>
          <w:t xml:space="preserve">Section 6b — Developer Requirements</w:t>
        </w:r>
      </w:hyperlink>
      <w:r>
        <w:rPr>
          <w:i/>
          <w:iCs/>
        </w:rPr>
        <w:t xml:space="preserve"> </w:t>
      </w:r>
      <w:r>
        <w:rPr>
          <w:i/>
          <w:iCs/>
        </w:rPr>
        <w:t xml:space="preserve">| Next:</w:t>
      </w:r>
      <w:r>
        <w:rPr>
          <w:i/>
          <w:iCs/>
        </w:rPr>
        <w:t xml:space="preserve"> </w:t>
      </w:r>
      <w:hyperlink r:id="rId442">
        <w:r>
          <w:rPr>
            <w:rStyle w:val="Hyperlink"/>
            <w:i/>
            <w:iCs/>
          </w:rPr>
          <w:t xml:space="preserve">Section 8 — Standards Alignment</w:t>
        </w:r>
      </w:hyperlink>
    </w:p>
    <w:bookmarkEnd w:id="443"/>
    <w:bookmarkEnd w:id="444"/>
    <w:bookmarkStart w:id="461"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45"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45"/>
    <w:bookmarkStart w:id="446"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46"/>
    <w:bookmarkStart w:id="452"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7"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7"/>
    <w:bookmarkStart w:id="448"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8"/>
    <w:bookmarkStart w:id="449"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9"/>
    <w:bookmarkStart w:id="450"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50"/>
    <w:bookmarkStart w:id="451"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51"/>
    <w:bookmarkEnd w:id="452"/>
    <w:bookmarkStart w:id="453"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53"/>
    <w:bookmarkStart w:id="454"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54"/>
    <w:bookmarkStart w:id="458" w:name="phased-roadmap"/>
    <w:p>
      <w:pPr>
        <w:pStyle w:val="Heading3"/>
      </w:pPr>
      <w:r>
        <w:t xml:space="preserve">8.6 Phased Roadmap</w:t>
      </w:r>
    </w:p>
    <w:bookmarkStart w:id="455"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55"/>
    <w:bookmarkStart w:id="456"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56"/>
    <w:bookmarkStart w:id="457"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7"/>
    <w:bookmarkEnd w:id="458"/>
    <w:bookmarkStart w:id="460"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p>
      <w:pPr>
        <w:pStyle w:val="FirstParagraph"/>
      </w:pPr>
      <w:r>
        <w:rPr>
          <w:i/>
          <w:iCs/>
        </w:rPr>
        <w:t xml:space="preserve">Previous:</w:t>
      </w:r>
      <w:r>
        <w:rPr>
          <w:i/>
          <w:iCs/>
        </w:rPr>
        <w:t xml:space="preserve"> </w:t>
      </w:r>
      <w:hyperlink r:id="rId287">
        <w:r>
          <w:rPr>
            <w:rStyle w:val="Hyperlink"/>
            <w:i/>
            <w:iCs/>
          </w:rPr>
          <w:t xml:space="preserve">Section 7 — API Reference</w:t>
        </w:r>
      </w:hyperlink>
      <w:r>
        <w:rPr>
          <w:i/>
          <w:iCs/>
        </w:rPr>
        <w:t xml:space="preserve"> </w:t>
      </w:r>
      <w:r>
        <w:rPr>
          <w:i/>
          <w:iCs/>
        </w:rPr>
        <w:t xml:space="preserve">| Next:</w:t>
      </w:r>
      <w:r>
        <w:rPr>
          <w:i/>
          <w:iCs/>
        </w:rPr>
        <w:t xml:space="preserve"> </w:t>
      </w:r>
      <w:hyperlink r:id="rId459">
        <w:r>
          <w:rPr>
            <w:rStyle w:val="Hyperlink"/>
            <w:i/>
            <w:iCs/>
          </w:rPr>
          <w:t xml:space="preserve">Section 9 — Future Roadmap &amp; Open Items</w:t>
        </w:r>
      </w:hyperlink>
    </w:p>
    <w:bookmarkEnd w:id="460"/>
    <w:bookmarkEnd w:id="461"/>
    <w:bookmarkEnd w:id="462"/>
    <w:bookmarkStart w:id="487" w:name="part-5-roadmap"/>
    <w:p>
      <w:pPr>
        <w:pStyle w:val="Heading1"/>
      </w:pPr>
      <w:r>
        <w:t xml:space="preserve">Part 5: Roadmap</w:t>
      </w:r>
    </w:p>
    <w:bookmarkStart w:id="486"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sections + source documentation.</w:t>
      </w:r>
    </w:p>
    <w:p>
      <w:r>
        <w:pict>
          <v:rect style="width:0;height:1.5pt" o:hralign="center" o:hrstd="t" o:hr="t"/>
        </w:pict>
      </w:r>
    </w:p>
    <w:bookmarkStart w:id="463"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ims-config-prod.json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63"/>
    <w:bookmarkStart w:id="468"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64"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64"/>
    <w:bookmarkStart w:id="465"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65"/>
    <w:bookmarkStart w:id="466"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66"/>
    <w:bookmarkStart w:id="467"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67"/>
    <w:bookmarkEnd w:id="468"/>
    <w:bookmarkStart w:id="471" w:name="mid-term-harden-extend"/>
    <w:p>
      <w:pPr>
        <w:pStyle w:val="Heading3"/>
      </w:pPr>
      <w:r>
        <w:t xml:space="preserve">9.3 Mid-Term: Harden &amp; Extend</w:t>
      </w:r>
    </w:p>
    <w:p>
      <w:pPr>
        <w:pStyle w:val="FirstParagraph"/>
      </w:pPr>
      <w:r>
        <w:t xml:space="preserve">Once the core flow works end-to-end.</w:t>
      </w:r>
    </w:p>
    <w:bookmarkStart w:id="469"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9"/>
    <w:bookmarkStart w:id="470"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70"/>
    <w:bookmarkEnd w:id="471"/>
    <w:bookmarkStart w:id="479" w:name="long-term-platform-evolution"/>
    <w:p>
      <w:pPr>
        <w:pStyle w:val="Heading3"/>
      </w:pPr>
      <w:r>
        <w:t xml:space="preserve">9.4 Long-Term: Platform Evolution</w:t>
      </w:r>
    </w:p>
    <w:bookmarkStart w:id="472"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72"/>
    <w:bookmarkStart w:id="473"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73"/>
    <w:bookmarkStart w:id="474"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74"/>
    <w:bookmarkStart w:id="475"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75"/>
    <w:bookmarkStart w:id="476"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76"/>
    <w:bookmarkStart w:id="477"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77"/>
    <w:bookmarkStart w:id="478"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8"/>
    <w:bookmarkEnd w:id="479"/>
    <w:bookmarkStart w:id="483"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80"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80"/>
    <w:bookmarkStart w:id="481"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81"/>
    <w:bookmarkStart w:id="482"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82"/>
    <w:bookmarkEnd w:id="483"/>
    <w:bookmarkStart w:id="485"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p>
      <w:pPr>
        <w:pStyle w:val="FirstParagraph"/>
      </w:pPr>
      <w:r>
        <w:rPr>
          <w:i/>
          <w:iCs/>
        </w:rPr>
        <w:t xml:space="preserve">Previous:</w:t>
      </w:r>
      <w:r>
        <w:rPr>
          <w:i/>
          <w:iCs/>
        </w:rPr>
        <w:t xml:space="preserve"> </w:t>
      </w:r>
      <w:hyperlink r:id="rId442">
        <w:r>
          <w:rPr>
            <w:rStyle w:val="Hyperlink"/>
            <w:i/>
            <w:iCs/>
          </w:rPr>
          <w:t xml:space="preserve">Section 8 — Standards Alignment</w:t>
        </w:r>
      </w:hyperlink>
      <w:r>
        <w:rPr>
          <w:i/>
          <w:iCs/>
        </w:rPr>
        <w:t xml:space="preserve"> </w:t>
      </w:r>
      <w:r>
        <w:rPr>
          <w:i/>
          <w:iCs/>
        </w:rPr>
        <w:t xml:space="preserve">| Back to</w:t>
      </w:r>
      <w:r>
        <w:rPr>
          <w:i/>
          <w:iCs/>
        </w:rPr>
        <w:t xml:space="preserve"> </w:t>
      </w:r>
      <w:hyperlink r:id="rId484">
        <w:r>
          <w:rPr>
            <w:rStyle w:val="Hyperlink"/>
            <w:i/>
            <w:iCs/>
          </w:rPr>
          <w:t xml:space="preserve">Index</w:t>
        </w:r>
      </w:hyperlink>
    </w:p>
    <w:bookmarkEnd w:id="485"/>
    <w:bookmarkEnd w:id="486"/>
    <w:bookmarkEnd w:id="487"/>
    <w:bookmarkStart w:id="553" w:name="appendix-a-support-functions-reference"/>
    <w:p>
      <w:pPr>
        <w:pStyle w:val="Heading1"/>
      </w:pPr>
      <w:r>
        <w:t xml:space="preserve">Appendix A: Support Functions Reference</w:t>
      </w:r>
    </w:p>
    <w:bookmarkStart w:id="489" w:name="support-functions-guide"/>
    <w:p>
      <w:pPr>
        <w:pStyle w:val="Heading2"/>
      </w:pPr>
      <w:r>
        <w:t xml:space="preserve">Support Functions Guide</w:t>
      </w:r>
    </w:p>
    <w:p>
      <w:pPr>
        <w:pStyle w:val="FirstParagraph"/>
      </w:pPr>
      <w:r>
        <w:t xml:space="preserve">One document, three sections:</w:t>
      </w:r>
    </w:p>
    <w:p>
      <w:pPr>
        <w:pStyle w:val="Compact"/>
        <w:numPr>
          <w:ilvl w:val="0"/>
          <w:numId w:val="1115"/>
        </w:numPr>
      </w:pPr>
      <w:r>
        <w:rPr>
          <w:b/>
          <w:bCs/>
        </w:rPr>
        <w:t xml:space="preserve">Part I: Base Reference</w:t>
      </w:r>
      <w:r>
        <w:t xml:space="preserve"> </w:t>
      </w:r>
      <w:r>
        <w:t xml:space="preserve">– Shared: all function definitions, syntax, examples</w:t>
      </w:r>
    </w:p>
    <w:p>
      <w:pPr>
        <w:pStyle w:val="Compact"/>
        <w:numPr>
          <w:ilvl w:val="0"/>
          <w:numId w:val="1115"/>
        </w:numPr>
      </w:pPr>
      <w:r>
        <w:rPr>
          <w:b/>
          <w:bCs/>
        </w:rPr>
        <w:t xml:space="preserve">Part II: Guide for Backend</w:t>
      </w:r>
      <w:r>
        <w:t xml:space="preserve"> </w:t>
      </w:r>
      <w:r>
        <w:t xml:space="preserve">– Converting YAML→JSON, editable vs non-editable, applying placeholders</w:t>
      </w:r>
    </w:p>
    <w:p>
      <w:pPr>
        <w:pStyle w:val="Compact"/>
        <w:numPr>
          <w:ilvl w:val="0"/>
          <w:numId w:val="1115"/>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88"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6"/>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6"/>
        </w:numPr>
      </w:pPr>
      <w:r>
        <w:rPr>
          <w:b/>
          <w:bCs/>
        </w:rPr>
        <w:t xml:space="preserve">JSON</w:t>
      </w:r>
      <w:r>
        <w:t xml:space="preserve"> </w:t>
      </w:r>
      <w:r>
        <w:t xml:space="preserve">(app-config) – add placeholders to fields that need portal resolution</w:t>
      </w:r>
    </w:p>
    <w:p>
      <w:pPr>
        <w:pStyle w:val="Compact"/>
        <w:numPr>
          <w:ilvl w:val="0"/>
          <w:numId w:val="1116"/>
        </w:numPr>
      </w:pPr>
      <w:r>
        <w:rPr>
          <w:b/>
          <w:bCs/>
        </w:rPr>
        <w:t xml:space="preserve">Portal populates</w:t>
      </w:r>
      <w:r>
        <w:t xml:space="preserve"> </w:t>
      </w:r>
      <w:r>
        <w:t xml:space="preserve">– resolves placeholders in JSON</w:t>
      </w:r>
    </w:p>
    <w:p>
      <w:pPr>
        <w:pStyle w:val="Compact"/>
        <w:numPr>
          <w:ilvl w:val="0"/>
          <w:numId w:val="1116"/>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88"/>
    <w:bookmarkEnd w:id="489"/>
    <w:bookmarkStart w:id="524" w:name="part-i-base-reference"/>
    <w:p>
      <w:pPr>
        <w:pStyle w:val="Heading2"/>
      </w:pPr>
      <w:r>
        <w:t xml:space="preserve">Part I: Base Reference</w:t>
      </w:r>
    </w:p>
    <w:bookmarkStart w:id="490"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7"/>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7"/>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7"/>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90"/>
    <w:bookmarkStart w:id="491"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8"/>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8"/>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91"/>
    <w:bookmarkStart w:id="496"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92"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92"/>
    <w:bookmarkStart w:id="493"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93"/>
    <w:bookmarkStart w:id="494"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94"/>
    <w:bookmarkStart w:id="495"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5"/>
    <w:bookmarkEnd w:id="496"/>
    <w:bookmarkStart w:id="499" w:name="vip-pip-functions"/>
    <w:p>
      <w:pPr>
        <w:pStyle w:val="Heading3"/>
      </w:pPr>
      <w:r>
        <w:t xml:space="preserve">4. VIP / PIP Functions</w:t>
      </w:r>
    </w:p>
    <w:bookmarkStart w:id="497"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7"/>
    <w:bookmarkStart w:id="498"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End w:id="499"/>
    <w:bookmarkStart w:id="503" w:name="network-metadata-functions"/>
    <w:p>
      <w:pPr>
        <w:pStyle w:val="Heading3"/>
      </w:pPr>
      <w:r>
        <w:t xml:space="preserve">5. Network Metadata Functions</w:t>
      </w:r>
    </w:p>
    <w:bookmarkStart w:id="500"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0"/>
    <w:bookmarkStart w:id="501"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End w:id="503"/>
    <w:bookmarkStart w:id="506" w:name="sriov-functions"/>
    <w:p>
      <w:pPr>
        <w:pStyle w:val="Heading3"/>
      </w:pPr>
      <w:r>
        <w:t xml:space="preserve">6. SRIOV Functions</w:t>
      </w:r>
    </w:p>
    <w:bookmarkStart w:id="504"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4"/>
    <w:bookmarkStart w:id="505"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End w:id="506"/>
    <w:bookmarkStart w:id="508" w:name="cross-component-function"/>
    <w:p>
      <w:pPr>
        <w:pStyle w:val="Heading3"/>
      </w:pPr>
      <w:r>
        <w:t xml:space="preserve">7. Cross-Component Function</w:t>
      </w:r>
    </w:p>
    <w:bookmarkStart w:id="507"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7"/>
    <w:bookmarkEnd w:id="508"/>
    <w:bookmarkStart w:id="514" w:name="platform-functions"/>
    <w:p>
      <w:pPr>
        <w:pStyle w:val="Heading3"/>
      </w:pPr>
      <w:r>
        <w:t xml:space="preserve">8. Platform Functions</w:t>
      </w:r>
    </w:p>
    <w:bookmarkStart w:id="509"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9"/>
    <w:bookmarkStart w:id="510"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0"/>
    <w:bookmarkStart w:id="511"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1"/>
    <w:bookmarkStart w:id="512"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2"/>
    <w:bookmarkStart w:id="513"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3"/>
    <w:bookmarkEnd w:id="514"/>
    <w:bookmarkStart w:id="520"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15"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15"/>
    <w:bookmarkStart w:id="516"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6"/>
    <w:bookmarkStart w:id="517"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7"/>
    <w:bookmarkStart w:id="518"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19"/>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19"/>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18"/>
    <w:bookmarkStart w:id="519"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19"/>
    <w:bookmarkEnd w:id="520"/>
    <w:bookmarkStart w:id="521"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21"/>
    <w:bookmarkStart w:id="522" w:name="data-sources"/>
    <w:p>
      <w:pPr>
        <w:pStyle w:val="Heading3"/>
      </w:pPr>
      <w:r>
        <w:t xml:space="preserve">11. Data Sources</w:t>
      </w:r>
    </w:p>
    <w:p>
      <w:pPr>
        <w:pStyle w:val="Compact"/>
        <w:numPr>
          <w:ilvl w:val="0"/>
          <w:numId w:val="1120"/>
        </w:numPr>
      </w:pPr>
      <w:r>
        <w:rPr>
          <w:b/>
          <w:bCs/>
        </w:rPr>
        <w:t xml:space="preserve">ciq_blueprint.json</w:t>
      </w:r>
      <w:r>
        <w:t xml:space="preserve">: Networks, IP counts, subnet sizes, pod placement, replicas, VIP/PIP requirements</w:t>
      </w:r>
    </w:p>
    <w:p>
      <w:pPr>
        <w:pStyle w:val="Compact"/>
        <w:numPr>
          <w:ilvl w:val="0"/>
          <w:numId w:val="1120"/>
        </w:numPr>
      </w:pPr>
      <w:r>
        <w:rPr>
          <w:b/>
          <w:bCs/>
        </w:rPr>
        <w:t xml:space="preserve">app-config.json</w:t>
      </w:r>
      <w:r>
        <w:t xml:space="preserve">: Chart structure, image mappings, deploy order</w:t>
      </w:r>
    </w:p>
    <w:p>
      <w:pPr>
        <w:pStyle w:val="Compact"/>
        <w:numPr>
          <w:ilvl w:val="0"/>
          <w:numId w:val="1120"/>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22"/>
    <w:bookmarkStart w:id="523"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23"/>
    <w:bookmarkEnd w:id="524"/>
    <w:bookmarkStart w:id="538"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25"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1"/>
        </w:numPr>
      </w:pPr>
      <w:r>
        <w:rPr>
          <w:b/>
          <w:bCs/>
        </w:rPr>
        <w:t xml:space="preserve">Converting YAML values to JSON</w:t>
      </w:r>
      <w:r>
        <w:t xml:space="preserve"> </w:t>
      </w:r>
      <w:r>
        <w:t xml:space="preserve">– Structuring Helm values for portal consumption</w:t>
      </w:r>
    </w:p>
    <w:p>
      <w:pPr>
        <w:pStyle w:val="Compact"/>
        <w:numPr>
          <w:ilvl w:val="0"/>
          <w:numId w:val="1121"/>
        </w:numPr>
      </w:pPr>
      <w:r>
        <w:rPr>
          <w:b/>
          <w:bCs/>
        </w:rPr>
        <w:t xml:space="preserve">Classifying fields</w:t>
      </w:r>
      <w:r>
        <w:t xml:space="preserve"> </w:t>
      </w:r>
      <w:r>
        <w:t xml:space="preserve">– Marking each field as user-editable or non-editable</w:t>
      </w:r>
    </w:p>
    <w:p>
      <w:pPr>
        <w:pStyle w:val="Compact"/>
        <w:numPr>
          <w:ilvl w:val="0"/>
          <w:numId w:val="1121"/>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25"/>
    <w:bookmarkStart w:id="529" w:name="editable-vs-non-editable-rules"/>
    <w:p>
      <w:pPr>
        <w:pStyle w:val="Heading3"/>
      </w:pPr>
      <w:r>
        <w:t xml:space="preserve">2. Editable vs Non-Editable Rules</w:t>
      </w:r>
    </w:p>
    <w:bookmarkStart w:id="526"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26"/>
    <w:bookmarkStart w:id="527"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27"/>
    <w:bookmarkStart w:id="528"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2"/>
        </w:numPr>
      </w:pPr>
      <w:r>
        <w:t xml:space="preserve">Application-specific config (feature flags, log levels)</w:t>
      </w:r>
    </w:p>
    <w:p>
      <w:pPr>
        <w:pStyle w:val="Compact"/>
        <w:numPr>
          <w:ilvl w:val="0"/>
          <w:numId w:val="1122"/>
        </w:numPr>
      </w:pPr>
      <w:r>
        <w:t xml:space="preserve">Environment variables that are not IPs, ports, or network-related</w:t>
      </w:r>
    </w:p>
    <w:p>
      <w:pPr>
        <w:pStyle w:val="Compact"/>
        <w:numPr>
          <w:ilvl w:val="0"/>
          <w:numId w:val="1122"/>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28"/>
    <w:bookmarkEnd w:id="529"/>
    <w:bookmarkStart w:id="532"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30" w:name="rules"/>
    <w:p>
      <w:pPr>
        <w:pStyle w:val="Heading4"/>
      </w:pPr>
      <w:r>
        <w:t xml:space="preserve">Rules</w:t>
      </w:r>
    </w:p>
    <w:p>
      <w:pPr>
        <w:pStyle w:val="Compact"/>
        <w:numPr>
          <w:ilvl w:val="0"/>
          <w:numId w:val="1123"/>
        </w:numPr>
      </w:pPr>
      <w:r>
        <w:t xml:space="preserve">Preserve structure: nested keys become nested JSON objects (exact 1:1 mapping with the Helm values.yaml)</w:t>
      </w:r>
    </w:p>
    <w:p>
      <w:pPr>
        <w:pStyle w:val="Compact"/>
        <w:numPr>
          <w:ilvl w:val="0"/>
          <w:numId w:val="1123"/>
        </w:numPr>
      </w:pPr>
      <w:r>
        <w:t xml:space="preserve">Preserve types: numbers stay numbers, booleans stay booleans</w:t>
      </w:r>
    </w:p>
    <w:p>
      <w:pPr>
        <w:pStyle w:val="Compact"/>
        <w:numPr>
          <w:ilvl w:val="0"/>
          <w:numId w:val="1123"/>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3"/>
        </w:numPr>
      </w:pPr>
      <w:r>
        <w:t xml:space="preserve">Add placeholders in JSON where the portal must populate (not in YAML)</w:t>
      </w:r>
    </w:p>
    <w:p>
      <w:pPr>
        <w:pStyle w:val="Compact"/>
        <w:numPr>
          <w:ilvl w:val="0"/>
          <w:numId w:val="1123"/>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30"/>
    <w:bookmarkStart w:id="531"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4"/>
        </w:numPr>
      </w:pPr>
      <w:r>
        <w:rPr>
          <w:b/>
          <w:bCs/>
        </w:rPr>
        <w:t xml:space="preserve">user_editable</w:t>
      </w:r>
      <w:r>
        <w:t xml:space="preserve">: Nested JSON matching the Helm values hierarchy. Values are defaults the user can change in the portal.</w:t>
      </w:r>
    </w:p>
    <w:p>
      <w:pPr>
        <w:pStyle w:val="Compact"/>
        <w:numPr>
          <w:ilvl w:val="0"/>
          <w:numId w:val="1124"/>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4"/>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31"/>
    <w:bookmarkEnd w:id="532"/>
    <w:bookmarkStart w:id="536" w:name="applying-support-functions"/>
    <w:p>
      <w:pPr>
        <w:pStyle w:val="Heading3"/>
      </w:pPr>
      <w:r>
        <w:t xml:space="preserve">4. Applying Support Functions</w:t>
      </w:r>
    </w:p>
    <w:bookmarkStart w:id="533"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5"/>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5"/>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5"/>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33"/>
    <w:bookmarkStart w:id="534" w:name="how-to-apply"/>
    <w:p>
      <w:pPr>
        <w:pStyle w:val="Heading4"/>
      </w:pPr>
      <w:r>
        <w:t xml:space="preserve">How to Apply</w:t>
      </w:r>
    </w:p>
    <w:p>
      <w:pPr>
        <w:pStyle w:val="Compact"/>
        <w:numPr>
          <w:ilvl w:val="0"/>
          <w:numId w:val="1126"/>
        </w:numPr>
      </w:pPr>
      <w:r>
        <w:t xml:space="preserve">Convert YAML to JSON (structure identical)</w:t>
      </w:r>
    </w:p>
    <w:p>
      <w:pPr>
        <w:pStyle w:val="Compact"/>
        <w:numPr>
          <w:ilvl w:val="0"/>
          <w:numId w:val="1126"/>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6"/>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6"/>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34"/>
    <w:bookmarkStart w:id="535"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35"/>
    <w:bookmarkEnd w:id="536"/>
    <w:bookmarkStart w:id="537"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7"/>
        </w:numPr>
      </w:pPr>
      <w:r>
        <w:t xml:space="preserve">Phase 1: Vendor input submission</w:t>
      </w:r>
      <w:r>
        <w:br/>
      </w:r>
    </w:p>
    <w:p>
      <w:pPr>
        <w:pStyle w:val="Compact"/>
        <w:numPr>
          <w:ilvl w:val="0"/>
          <w:numId w:val="1127"/>
        </w:numPr>
      </w:pPr>
      <w:r>
        <w:t xml:space="preserve">Phase 2: Network design &amp; IP allocation (Infoblox)</w:t>
      </w:r>
      <w:r>
        <w:br/>
      </w:r>
    </w:p>
    <w:p>
      <w:pPr>
        <w:pStyle w:val="Compact"/>
        <w:numPr>
          <w:ilvl w:val="0"/>
          <w:numId w:val="1127"/>
        </w:numPr>
      </w:pPr>
      <w:r>
        <w:t xml:space="preserve">Phase 3: Configuration generation (app-config placeholders resolved with CIQ blueprint + IP JSON; per-component values shown; final JSON returned via API)</w:t>
      </w:r>
      <w:r>
        <w:br/>
      </w:r>
    </w:p>
    <w:p>
      <w:pPr>
        <w:pStyle w:val="Compact"/>
        <w:numPr>
          <w:ilvl w:val="0"/>
          <w:numId w:val="1127"/>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37"/>
    <w:bookmarkEnd w:id="538"/>
    <w:bookmarkStart w:id="552"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39"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8"/>
        </w:numPr>
      </w:pPr>
      <w:r>
        <w:rPr>
          <w:b/>
          <w:bCs/>
        </w:rPr>
        <w:t xml:space="preserve">CIQ blueprint</w:t>
      </w:r>
      <w:r>
        <w:t xml:space="preserve"> </w:t>
      </w:r>
      <w:r>
        <w:t xml:space="preserve">– network definitions, site config (vlan, subnet, gateway)</w:t>
      </w:r>
    </w:p>
    <w:p>
      <w:pPr>
        <w:pStyle w:val="Compact"/>
        <w:numPr>
          <w:ilvl w:val="0"/>
          <w:numId w:val="1128"/>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39"/>
    <w:bookmarkStart w:id="540" w:name="resolution-flow-1"/>
    <w:p>
      <w:pPr>
        <w:pStyle w:val="Heading3"/>
      </w:pPr>
      <w:r>
        <w:t xml:space="preserve">2. Resolution Flow</w:t>
      </w:r>
    </w:p>
    <w:p>
      <w:pPr>
        <w:pStyle w:val="Compact"/>
        <w:numPr>
          <w:ilvl w:val="0"/>
          <w:numId w:val="1129"/>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29"/>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29"/>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29"/>
        </w:numPr>
      </w:pPr>
      <w:r>
        <w:rPr>
          <w:b/>
          <w:bCs/>
        </w:rPr>
        <w:t xml:space="preserve">Replace</w:t>
      </w:r>
      <w:r>
        <w:t xml:space="preserve"> </w:t>
      </w:r>
      <w:r>
        <w:t xml:space="preserve">the placeholder string with the resolved value (string, number, or JSON array)</w:t>
      </w:r>
    </w:p>
    <w:p>
      <w:pPr>
        <w:pStyle w:val="Compact"/>
        <w:numPr>
          <w:ilvl w:val="0"/>
          <w:numId w:val="1129"/>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29"/>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29"/>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40"/>
    <w:bookmarkStart w:id="543" w:name="parsing-placeholders"/>
    <w:p>
      <w:pPr>
        <w:pStyle w:val="Heading3"/>
      </w:pPr>
      <w:r>
        <w:t xml:space="preserve">3. Parsing Placeholders</w:t>
      </w:r>
    </w:p>
    <w:bookmarkStart w:id="541" w:name="regex"/>
    <w:p>
      <w:pPr>
        <w:pStyle w:val="Heading4"/>
      </w:pPr>
      <w:r>
        <w:t xml:space="preserve">Regex</w:t>
      </w:r>
    </w:p>
    <w:p>
      <w:pPr>
        <w:pStyle w:val="SourceCode"/>
      </w:pPr>
      <w:r>
        <w:rPr>
          <w:rStyle w:val="VerbatimChar"/>
        </w:rPr>
        <w:t xml:space="preserve">\{\{\s*(\w+)\s*\|\s*([^|]+)\s*(?:\|\s*([^|]+))?\s*\}\}</w:t>
      </w:r>
    </w:p>
    <w:p>
      <w:pPr>
        <w:pStyle w:val="Compact"/>
        <w:numPr>
          <w:ilvl w:val="0"/>
          <w:numId w:val="1130"/>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0"/>
        </w:numPr>
      </w:pPr>
      <w:r>
        <w:rPr>
          <w:b/>
          <w:bCs/>
        </w:rPr>
        <w:t xml:space="preserve">Group 2</w:t>
      </w:r>
      <w:r>
        <w:t xml:space="preserve">: first arg (required)</w:t>
      </w:r>
    </w:p>
    <w:p>
      <w:pPr>
        <w:pStyle w:val="Compact"/>
        <w:numPr>
          <w:ilvl w:val="0"/>
          <w:numId w:val="1130"/>
        </w:numPr>
      </w:pPr>
      <w:r>
        <w:rPr>
          <w:b/>
          <w:bCs/>
        </w:rPr>
        <w:t xml:space="preserve">Group 3</w:t>
      </w:r>
      <w:r>
        <w:t xml:space="preserve">: second arg (optional)</w:t>
      </w:r>
    </w:p>
    <w:bookmarkEnd w:id="541"/>
    <w:bookmarkStart w:id="542"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42"/>
    <w:bookmarkEnd w:id="543"/>
    <w:bookmarkStart w:id="545"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44" w:name="replacement-format"/>
    <w:p>
      <w:pPr>
        <w:pStyle w:val="Heading4"/>
      </w:pPr>
      <w:r>
        <w:t xml:space="preserve">Replacement Format</w:t>
      </w:r>
    </w:p>
    <w:p>
      <w:pPr>
        <w:pStyle w:val="Compact"/>
        <w:numPr>
          <w:ilvl w:val="0"/>
          <w:numId w:val="1131"/>
        </w:numPr>
      </w:pPr>
      <w:r>
        <w:rPr>
          <w:b/>
          <w:bCs/>
        </w:rPr>
        <w:t xml:space="preserve">String/number</w:t>
      </w:r>
      <w:r>
        <w:t xml:space="preserve">: Replace placeholder with the value directly (quote strings in YAML)</w:t>
      </w:r>
    </w:p>
    <w:p>
      <w:pPr>
        <w:pStyle w:val="Compact"/>
        <w:numPr>
          <w:ilvl w:val="0"/>
          <w:numId w:val="1131"/>
        </w:numPr>
      </w:pPr>
      <w:r>
        <w:rPr>
          <w:b/>
          <w:bCs/>
        </w:rPr>
        <w:t xml:space="preserve">Array</w:t>
      </w:r>
      <w:r>
        <w:t xml:space="preserve">: Replace with valid YAML array or JSON array as required by the field</w:t>
      </w:r>
    </w:p>
    <w:p>
      <w:r>
        <w:pict>
          <v:rect style="width:0;height:1.5pt" o:hralign="center" o:hrstd="t" o:hr="t"/>
        </w:pict>
      </w:r>
    </w:p>
    <w:bookmarkEnd w:id="544"/>
    <w:bookmarkEnd w:id="545"/>
    <w:bookmarkStart w:id="546"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46"/>
    <w:bookmarkStart w:id="549" w:name="json-structure-for-data-sources"/>
    <w:p>
      <w:pPr>
        <w:pStyle w:val="Heading3"/>
      </w:pPr>
      <w:r>
        <w:t xml:space="preserve">6. JSON Structure for Data Sources</w:t>
      </w:r>
    </w:p>
    <w:bookmarkStart w:id="547"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47"/>
    <w:bookmarkStart w:id="548" w:name="output"/>
    <w:p>
      <w:pPr>
        <w:pStyle w:val="Heading4"/>
      </w:pPr>
      <w:r>
        <w:t xml:space="preserve">Output</w:t>
      </w:r>
    </w:p>
    <w:p>
      <w:pPr>
        <w:pStyle w:val="Compact"/>
        <w:numPr>
          <w:ilvl w:val="0"/>
          <w:numId w:val="1132"/>
        </w:numPr>
      </w:pPr>
      <w:r>
        <w:rPr>
          <w:b/>
          <w:bCs/>
        </w:rPr>
        <w:t xml:space="preserve">Per-component values</w:t>
      </w:r>
      <w:r>
        <w:t xml:space="preserve"> </w:t>
      </w:r>
      <w:r>
        <w:t xml:space="preserve">– shown to user for editing (editable fields only)</w:t>
      </w:r>
    </w:p>
    <w:p>
      <w:pPr>
        <w:pStyle w:val="Compact"/>
        <w:numPr>
          <w:ilvl w:val="0"/>
          <w:numId w:val="1132"/>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48"/>
    <w:bookmarkEnd w:id="549"/>
    <w:bookmarkStart w:id="550"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50"/>
    <w:bookmarkStart w:id="551" w:name="edge-cases-1"/>
    <w:p>
      <w:pPr>
        <w:pStyle w:val="Heading3"/>
      </w:pPr>
      <w:r>
        <w:t xml:space="preserve">8. Edge Cases</w:t>
      </w:r>
    </w:p>
    <w:p>
      <w:pPr>
        <w:pStyle w:val="Compact"/>
        <w:numPr>
          <w:ilvl w:val="0"/>
          <w:numId w:val="1133"/>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3"/>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3"/>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3"/>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51"/>
    <w:bookmarkEnd w:id="552"/>
    <w:bookmarkEnd w:id="553"/>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4"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484"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2026-04-09T14:28:57Z</dcterms:created>
  <dcterms:modified xsi:type="dcterms:W3CDTF">2026-04-09T14:28:57Z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