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第三章 人工智能赋能不同场景的应用现状</w:t>
      </w:r>
    </w:p>
    <w:p>
      <w:pPr>
        <w:pStyle w:val="Heading2"/>
      </w:pPr>
      <w:r>
        <w:t>3.0 总体场景分布与应用结构特征概述</w:t>
      </w:r>
    </w:p>
    <w:p>
      <w:r>
        <w:t>当前人工智能在基础教育领域的应用已全面铺开，但不同场景的渗透深度呈现出高度不对称的结构性特征。基于收集的 1690 个典型案例，本报告将应用场景划分为“助学”、“助教”、“助评”、“助育”、“助管”与“助研”六大维度。通过对各维度案例体量的量化分析发现：</w:t>
      </w:r>
      <w:r>
        <w:rPr>
          <w:b/>
        </w:rPr>
        <w:t>AI 教育应用展现出极强的“助学主导”与“助教协同”特征，而面向管理、评价与教研的系统级应用仍处于初期探索阶段。</w:t>
      </w:r>
    </w:p>
    <w:p>
      <w:r>
        <w:t>具体而言，</w:t>
      </w:r>
      <w:r>
        <w:rPr>
          <w:b/>
        </w:rPr>
        <w:t>“助学”场景</w:t>
      </w:r>
      <w:r>
        <w:t>以压倒性的 1215 个案例（占比 71.89%）占据绝对核心地位，其中以“智能辅导系统”（958例）和“情境式学习”（181例）为代表的直接面向学生个体的个性化学习支持已成为最成熟的应用赛道。其次为</w:t>
      </w:r>
      <w:r>
        <w:rPr>
          <w:b/>
        </w:rPr>
        <w:t>“助教”场景</w:t>
      </w:r>
      <w:r>
        <w:t>（301例，占比 17.81%），AI 技术正快速向教师侧的“教学分析”（176例）与“备课/课件生成”（41例）环节渗透，助力教学质量的提升与教师减负。</w:t>
      </w:r>
    </w:p>
    <w:p>
      <w:r>
        <w:t>相比之下，</w:t>
      </w:r>
      <w:r>
        <w:rPr>
          <w:b/>
        </w:rPr>
        <w:t>“助育”</w:t>
      </w:r>
      <w:r>
        <w:t>（58例，3.43%）、</w:t>
      </w:r>
      <w:r>
        <w:rPr>
          <w:b/>
        </w:rPr>
        <w:t>“助评”</w:t>
      </w:r>
      <w:r>
        <w:t>（63例，3.73%）、</w:t>
      </w:r>
      <w:r>
        <w:rPr>
          <w:b/>
        </w:rPr>
        <w:t>“助管”</w:t>
      </w:r>
      <w:r>
        <w:t>（39例，2.31%）与</w:t>
      </w:r>
      <w:r>
        <w:rPr>
          <w:b/>
        </w:rPr>
        <w:t>“助研”</w:t>
      </w:r>
      <w:r>
        <w:t>（8例，0.47%）场景由于涉及更深层次的教育伦理、多维度数据打通及复杂的专业体系重构，应用规模普遍较小。在这些长尾场景中，“综合素质评价”（45例）与“智能心理支持”（31例）表现出一定的创新潜力，代表了未来 AI 赋能教育向深水区迈进与全人发展的战略方向。</w:t>
      </w:r>
    </w:p>
    <w:p>
      <w:r>
        <w:t>为了更清晰地呈现各个应用维度的结构，下表总括了人工智能应用场景在基础教育中的分布矩阵：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一级应用场景</w:t>
            </w:r>
          </w:p>
        </w:tc>
        <w:tc>
          <w:tcPr>
            <w:tcW w:type="dxa" w:w="2160"/>
          </w:tcPr>
          <w:p>
            <w:r>
              <w:t>总案例数</w:t>
            </w:r>
          </w:p>
        </w:tc>
        <w:tc>
          <w:tcPr>
            <w:tcW w:type="dxa" w:w="2160"/>
          </w:tcPr>
          <w:p>
            <w:r>
              <w:t>占比</w:t>
            </w:r>
          </w:p>
        </w:tc>
        <w:tc>
          <w:tcPr>
            <w:tcW w:type="dxa" w:w="2160"/>
          </w:tcPr>
          <w:p>
            <w:r>
              <w:t>核心二级应用场景分布提取</w:t>
            </w:r>
          </w:p>
        </w:tc>
      </w:tr>
      <w:tr>
        <w:tc>
          <w:tcPr>
            <w:tcW w:type="dxa" w:w="2160"/>
          </w:tcPr>
          <w:p>
            <w:r>
              <w:rPr>
                <w:b/>
              </w:rPr>
              <w:t>助学</w:t>
            </w:r>
          </w:p>
        </w:tc>
        <w:tc>
          <w:tcPr>
            <w:tcW w:type="dxa" w:w="2160"/>
          </w:tcPr>
          <w:p>
            <w:r>
              <w:rPr>
                <w:b/>
              </w:rPr>
              <w:t>1215</w:t>
            </w:r>
          </w:p>
        </w:tc>
        <w:tc>
          <w:tcPr>
            <w:tcW w:type="dxa" w:w="2160"/>
          </w:tcPr>
          <w:p>
            <w:r>
              <w:rPr>
                <w:b/>
              </w:rPr>
              <w:t>71.89%</w:t>
            </w:r>
          </w:p>
        </w:tc>
        <w:tc>
          <w:tcPr>
            <w:tcW w:type="dxa" w:w="2160"/>
          </w:tcPr>
          <w:p>
            <w:r>
              <w:t>智能辅导系统 (958例)，情境式学习 (181例)，游戏化学习 (19例)</w:t>
            </w:r>
          </w:p>
        </w:tc>
      </w:tr>
      <w:tr>
        <w:tc>
          <w:tcPr>
            <w:tcW w:type="dxa" w:w="2160"/>
          </w:tcPr>
          <w:p>
            <w:r>
              <w:rPr>
                <w:b/>
              </w:rPr>
              <w:t>助教</w:t>
            </w:r>
          </w:p>
        </w:tc>
        <w:tc>
          <w:tcPr>
            <w:tcW w:type="dxa" w:w="2160"/>
          </w:tcPr>
          <w:p>
            <w:r>
              <w:rPr>
                <w:b/>
              </w:rPr>
              <w:t>301</w:t>
            </w:r>
          </w:p>
        </w:tc>
        <w:tc>
          <w:tcPr>
            <w:tcW w:type="dxa" w:w="2160"/>
          </w:tcPr>
          <w:p>
            <w:r>
              <w:rPr>
                <w:b/>
              </w:rPr>
              <w:t>17.81%</w:t>
            </w:r>
          </w:p>
        </w:tc>
        <w:tc>
          <w:tcPr>
            <w:tcW w:type="dxa" w:w="2160"/>
          </w:tcPr>
          <w:p>
            <w:r>
              <w:t>教学分析 (176例)，教师备课 (41例)，作业管理 (25例)，课堂管理 (16例)</w:t>
            </w:r>
          </w:p>
        </w:tc>
      </w:tr>
      <w:tr>
        <w:tc>
          <w:tcPr>
            <w:tcW w:type="dxa" w:w="2160"/>
          </w:tcPr>
          <w:p>
            <w:r>
              <w:rPr>
                <w:b/>
              </w:rPr>
              <w:t>助评</w:t>
            </w:r>
          </w:p>
        </w:tc>
        <w:tc>
          <w:tcPr>
            <w:tcW w:type="dxa" w:w="2160"/>
          </w:tcPr>
          <w:p>
            <w:r>
              <w:rPr>
                <w:b/>
              </w:rPr>
              <w:t>63</w:t>
            </w:r>
          </w:p>
        </w:tc>
        <w:tc>
          <w:tcPr>
            <w:tcW w:type="dxa" w:w="2160"/>
          </w:tcPr>
          <w:p>
            <w:r>
              <w:rPr>
                <w:b/>
              </w:rPr>
              <w:t>3.73%</w:t>
            </w:r>
          </w:p>
        </w:tc>
        <w:tc>
          <w:tcPr>
            <w:tcW w:type="dxa" w:w="2160"/>
          </w:tcPr>
          <w:p>
            <w:r>
              <w:t>综合素质评价 (45例)，学生评估 (9例)，五育融合学生画像 (1例)</w:t>
            </w:r>
          </w:p>
        </w:tc>
      </w:tr>
      <w:tr>
        <w:tc>
          <w:tcPr>
            <w:tcW w:type="dxa" w:w="2160"/>
          </w:tcPr>
          <w:p>
            <w:r>
              <w:rPr>
                <w:b/>
              </w:rPr>
              <w:t>助育</w:t>
            </w:r>
          </w:p>
        </w:tc>
        <w:tc>
          <w:tcPr>
            <w:tcW w:type="dxa" w:w="2160"/>
          </w:tcPr>
          <w:p>
            <w:r>
              <w:rPr>
                <w:b/>
              </w:rPr>
              <w:t>58</w:t>
            </w:r>
          </w:p>
        </w:tc>
        <w:tc>
          <w:tcPr>
            <w:tcW w:type="dxa" w:w="2160"/>
          </w:tcPr>
          <w:p>
            <w:r>
              <w:rPr>
                <w:b/>
              </w:rPr>
              <w:t>3.43%</w:t>
            </w:r>
          </w:p>
        </w:tc>
        <w:tc>
          <w:tcPr>
            <w:tcW w:type="dxa" w:w="2160"/>
          </w:tcPr>
          <w:p>
            <w:r>
              <w:t>智能心理支持 (31例)，智能美育教育 (9例)，智能阅读辅助 (6例)，智能体育健康 (6例)</w:t>
            </w:r>
          </w:p>
        </w:tc>
      </w:tr>
      <w:tr>
        <w:tc>
          <w:tcPr>
            <w:tcW w:type="dxa" w:w="2160"/>
          </w:tcPr>
          <w:p>
            <w:r>
              <w:rPr>
                <w:b/>
              </w:rPr>
              <w:t>助管</w:t>
            </w:r>
          </w:p>
        </w:tc>
        <w:tc>
          <w:tcPr>
            <w:tcW w:type="dxa" w:w="2160"/>
          </w:tcPr>
          <w:p>
            <w:r>
              <w:rPr>
                <w:b/>
              </w:rPr>
              <w:t>39</w:t>
            </w:r>
          </w:p>
        </w:tc>
        <w:tc>
          <w:tcPr>
            <w:tcW w:type="dxa" w:w="2160"/>
          </w:tcPr>
          <w:p>
            <w:r>
              <w:rPr>
                <w:b/>
              </w:rPr>
              <w:t>2.31%</w:t>
            </w:r>
          </w:p>
        </w:tc>
        <w:tc>
          <w:tcPr>
            <w:tcW w:type="dxa" w:w="2160"/>
          </w:tcPr>
          <w:p>
            <w:r>
              <w:t>校园安全智能监控 (21例)，学生信息智能管理 (13例)，教务管理智能化 (3例)</w:t>
            </w:r>
          </w:p>
        </w:tc>
      </w:tr>
      <w:tr>
        <w:tc>
          <w:tcPr>
            <w:tcW w:type="dxa" w:w="2160"/>
          </w:tcPr>
          <w:p>
            <w:r>
              <w:rPr>
                <w:b/>
              </w:rPr>
              <w:t>助研</w:t>
            </w:r>
          </w:p>
        </w:tc>
        <w:tc>
          <w:tcPr>
            <w:tcW w:type="dxa" w:w="2160"/>
          </w:tcPr>
          <w:p>
            <w:r>
              <w:rPr>
                <w:b/>
              </w:rPr>
              <w:t>8</w:t>
            </w:r>
          </w:p>
        </w:tc>
        <w:tc>
          <w:tcPr>
            <w:tcW w:type="dxa" w:w="2160"/>
          </w:tcPr>
          <w:p>
            <w:r>
              <w:rPr>
                <w:b/>
              </w:rPr>
              <w:t>0.47%</w:t>
            </w:r>
          </w:p>
        </w:tc>
        <w:tc>
          <w:tcPr>
            <w:tcW w:type="dxa" w:w="2160"/>
          </w:tcPr>
          <w:p>
            <w:r>
              <w:t>智能教师专业发展平台 (6例)，智能科研助手 (1例)</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