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1</w:t>
      </w:r>
    </w:p>
    <w:p>
      <w:pPr>
        <w:pStyle w:val="style0"/>
        <w:spacing w:after="0" w:before="0"/>
        <w:jc w:val="center"/>
      </w:pPr>
      <w:r>
        <w:rPr>
          <w:rFonts w:ascii="Times New Roman" w:cs="Times New Roman" w:hAnsi="Times New Roman"/>
          <w:b/>
          <w:i/>
          <w:sz w:val="24"/>
          <w:szCs w:val="24"/>
        </w:rPr>
      </w:r>
    </w:p>
    <w:tbl>
      <w:tblPr>
        <w:jc w:val="left"/>
        <w:tblInd w:type="dxa" w:w="-108"/>
        <w:tblBorders/>
      </w:tblPr>
      <w:tblGrid>
        <w:gridCol w:w="532"/>
        <w:gridCol w:w="2462"/>
        <w:gridCol w:w="8310"/>
        <w:gridCol w:w="1917"/>
      </w:tblGrid>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b/>
                <w:bCs/>
                <w:i/>
                <w:iCs/>
                <w:sz w:val="24"/>
                <w:szCs w:val="24"/>
              </w:rPr>
              <w:t>No</w:t>
            </w:r>
          </w:p>
        </w:tc>
        <w:tc>
          <w:tcPr>
            <w:tcW w:type="dxa" w:w="2462"/>
            <w:tcBorders/>
            <w:shd w:fill="auto" w:val="clear"/>
            <w:tcMar>
              <w:top w:type="dxa" w:w="0"/>
              <w:left w:type="dxa" w:w="108"/>
              <w:bottom w:type="dxa" w:w="0"/>
              <w:right w:type="dxa" w:w="108"/>
            </w:tcMar>
          </w:tcPr>
          <w:p>
            <w:pPr>
              <w:pStyle w:val="style23"/>
            </w:pPr>
            <w:r>
              <w:rPr>
                <w:rFonts w:ascii="Times New Roman" w:cs="Times New Roman" w:hAnsi="Times New Roman"/>
                <w:b/>
                <w:bCs/>
                <w:i/>
                <w:iCs/>
                <w:sz w:val="24"/>
                <w:szCs w:val="24"/>
              </w:rPr>
              <w:t>Reviewer’s Comment/Suggestion</w:t>
            </w:r>
          </w:p>
        </w:tc>
        <w:tc>
          <w:tcPr>
            <w:tcW w:type="dxa" w:w="8310"/>
            <w:tcBorders/>
            <w:shd w:fill="auto" w:val="clear"/>
            <w:tcMar>
              <w:top w:type="dxa" w:w="0"/>
              <w:left w:type="dxa" w:w="108"/>
              <w:bottom w:type="dxa" w:w="0"/>
              <w:right w:type="dxa" w:w="108"/>
            </w:tcMar>
          </w:tcPr>
          <w:p>
            <w:pPr>
              <w:pStyle w:val="style0"/>
            </w:pPr>
            <w:r>
              <w:rPr>
                <w:rFonts w:ascii="Times New Roman" w:cs="Times New Roman" w:hAnsi="Times New Roman"/>
                <w:b/>
                <w:bCs/>
                <w:i/>
                <w:iCs/>
                <w:sz w:val="24"/>
                <w:szCs w:val="24"/>
              </w:rPr>
              <w:t>Author’s Comment</w:t>
            </w:r>
          </w:p>
        </w:tc>
        <w:tc>
          <w:tcPr>
            <w:tcW w:type="dxa" w:w="1917"/>
            <w:tcBorders/>
            <w:shd w:fill="auto" w:val="clear"/>
            <w:tcMar>
              <w:top w:type="dxa" w:w="0"/>
              <w:left w:type="dxa" w:w="108"/>
              <w:bottom w:type="dxa" w:w="0"/>
              <w:right w:type="dxa" w:w="108"/>
            </w:tcMar>
          </w:tcPr>
          <w:p>
            <w:pPr>
              <w:pStyle w:val="style0"/>
            </w:pPr>
            <w:r>
              <w:rPr>
                <w:rFonts w:ascii="Times New Roman" w:cs="Times New Roman" w:hAnsi="Times New Roman"/>
                <w:b/>
                <w:bCs/>
                <w:i/>
                <w:iCs/>
                <w:sz w:val="24"/>
                <w:szCs w:val="24"/>
              </w:rPr>
              <w:t>Action Taken***</w:t>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1</w:t>
            </w:r>
          </w:p>
        </w:tc>
        <w:tc>
          <w:tcPr>
            <w:tcW w:type="dxa" w:w="2462"/>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lang w:eastAsia="en-CA" w:val="en-CA"/>
              </w:rPr>
              <w:t>Please explain the difference between reference [9] and this paper. They are both presented the MOD* Lite methods.</w:t>
            </w:r>
          </w:p>
        </w:tc>
        <w:tc>
          <w:tcPr>
            <w:tcW w:type="dxa" w:w="8310"/>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rPr>
            </w:r>
          </w:p>
        </w:tc>
        <w:tc>
          <w:tcPr>
            <w:tcW w:type="dxa" w:w="1917"/>
            <w:tcBorders/>
            <w:shd w:fill="auto" w:val="clear"/>
            <w:tcMar>
              <w:top w:type="dxa" w:w="0"/>
              <w:left w:type="dxa" w:w="108"/>
              <w:bottom w:type="dxa" w:w="0"/>
              <w:right w:type="dxa" w:w="108"/>
            </w:tcMar>
          </w:tcPr>
          <w:p>
            <w:pPr>
              <w:pStyle w:val="style0"/>
              <w:jc w:val="both"/>
            </w:pPr>
            <w:r>
              <w:rPr/>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2</w:t>
            </w:r>
          </w:p>
        </w:tc>
        <w:tc>
          <w:tcPr>
            <w:tcW w:type="dxa" w:w="2462"/>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lang w:eastAsia="en-CA" w:val="en-CA"/>
              </w:rPr>
              <w:t>Please check the type errors in the paper, such as "For the experimental study, MOD* Lite is is realized," in Page 5 (Line 4-5). I find several errors. In Section IV, the word "multi objective" does not have the '-'. But, in the previous sections, the word is "multi-objective." Please correct them.</w:t>
            </w:r>
          </w:p>
        </w:tc>
        <w:tc>
          <w:tcPr>
            <w:tcW w:type="dxa" w:w="8310"/>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rPr>
            </w:r>
          </w:p>
        </w:tc>
        <w:tc>
          <w:tcPr>
            <w:tcW w:type="dxa" w:w="1917"/>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Corrections are done</w:t>
            </w:r>
            <w:bookmarkStart w:id="0" w:name="_GoBack1"/>
            <w:bookmarkEnd w:id="0"/>
            <w:r>
              <w:rPr>
                <w:rFonts w:ascii="Times New Roman" w:cs="Times New Roman" w:hAnsi="Times New Roman"/>
                <w:sz w:val="24"/>
                <w:szCs w:val="24"/>
              </w:rPr>
              <w:t xml:space="preserve"> in accordance with author reply.</w:t>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3</w:t>
            </w:r>
          </w:p>
        </w:tc>
        <w:tc>
          <w:tcPr>
            <w:tcW w:type="dxa" w:w="2462"/>
            <w:tcBorders/>
            <w:shd w:fill="auto" w:val="clear"/>
            <w:tcMar>
              <w:top w:type="dxa" w:w="0"/>
              <w:left w:type="dxa" w:w="108"/>
              <w:bottom w:type="dxa" w:w="0"/>
              <w:right w:type="dxa" w:w="108"/>
            </w:tcMar>
          </w:tcPr>
          <w:p>
            <w:pPr>
              <w:pStyle w:val="style0"/>
            </w:pPr>
            <w:r>
              <w:rPr>
                <w:rFonts w:ascii="Times New Roman" w:cs="Times New Roman" w:hAnsi="Times New Roman"/>
                <w:sz w:val="24"/>
                <w:szCs w:val="24"/>
                <w:lang w:eastAsia="en-CA" w:val="en-CA"/>
              </w:rPr>
              <w:t>In this paper, the MOD* Lite method is applied to 2D UAV problem whose environment is represented by the square cells. Please explain how to transform the cell-base environment to the real space in real application.</w:t>
            </w:r>
          </w:p>
        </w:tc>
        <w:tc>
          <w:tcPr>
            <w:tcW w:type="dxa" w:w="8310"/>
            <w:tcBorders/>
            <w:shd w:fill="auto" w:val="clear"/>
            <w:tcMar>
              <w:top w:type="dxa" w:w="0"/>
              <w:left w:type="dxa" w:w="108"/>
              <w:bottom w:type="dxa" w:w="0"/>
              <w:right w:type="dxa" w:w="108"/>
            </w:tcMar>
          </w:tcPr>
          <w:p>
            <w:pPr>
              <w:pStyle w:val="style0"/>
              <w:jc w:val="both"/>
            </w:pPr>
            <w:r>
              <w:rPr/>
            </w:r>
          </w:p>
        </w:tc>
        <w:tc>
          <w:tcPr>
            <w:tcW w:type="dxa" w:w="1917"/>
            <w:tcBorders/>
            <w:shd w:fill="auto" w:val="clear"/>
            <w:tcMar>
              <w:top w:type="dxa" w:w="0"/>
              <w:left w:type="dxa" w:w="108"/>
              <w:bottom w:type="dxa" w:w="0"/>
              <w:right w:type="dxa" w:w="108"/>
            </w:tcMar>
          </w:tcPr>
          <w:p>
            <w:pPr>
              <w:pStyle w:val="style0"/>
            </w:pPr>
            <w:r>
              <w:rPr/>
            </w:r>
          </w:p>
        </w:tc>
      </w:tr>
      <w:tr>
        <w:trPr>
          <w:trHeight w:hRule="atLeast" w:val="566"/>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4</w:t>
            </w:r>
          </w:p>
        </w:tc>
        <w:tc>
          <w:tcPr>
            <w:tcW w:type="dxa" w:w="2462"/>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lang w:eastAsia="en-CA" w:val="en-CA"/>
              </w:rPr>
              <w:t>In Algorithm1, I suggest to put the PLAN() procedure to the top and indicate that it is the main procedure to avoid confusion.</w:t>
            </w:r>
          </w:p>
        </w:tc>
        <w:tc>
          <w:tcPr>
            <w:tcW w:type="dxa" w:w="8310"/>
            <w:tcBorders/>
            <w:shd w:fill="auto" w:val="clear"/>
            <w:tcMar>
              <w:top w:type="dxa" w:w="0"/>
              <w:left w:type="dxa" w:w="108"/>
              <w:bottom w:type="dxa" w:w="0"/>
              <w:right w:type="dxa" w:w="108"/>
            </w:tcMar>
          </w:tcPr>
          <w:p>
            <w:pPr>
              <w:pStyle w:val="style0"/>
            </w:pPr>
            <w:r>
              <w:rPr/>
            </w:r>
          </w:p>
        </w:tc>
        <w:tc>
          <w:tcPr>
            <w:tcW w:type="dxa" w:w="1917"/>
            <w:tcBorders/>
            <w:shd w:fill="auto" w:val="clear"/>
            <w:tcMar>
              <w:top w:type="dxa" w:w="0"/>
              <w:left w:type="dxa" w:w="108"/>
              <w:bottom w:type="dxa" w:w="0"/>
              <w:right w:type="dxa" w:w="108"/>
            </w:tcMar>
          </w:tcPr>
          <w:p>
            <w:pPr>
              <w:pStyle w:val="style0"/>
            </w:pPr>
            <w:r>
              <w:rPr/>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5</w:t>
            </w:r>
          </w:p>
        </w:tc>
        <w:tc>
          <w:tcPr>
            <w:tcW w:type="dxa" w:w="2462"/>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lang w:eastAsia="en-CA" w:val="en-CA"/>
              </w:rPr>
              <w:t>In Section III, it seems not easy to be understand about the algorithms presented in this section. Can you illustrate the important concept of the algorithm by using another figure?</w:t>
            </w:r>
          </w:p>
        </w:tc>
        <w:tc>
          <w:tcPr>
            <w:tcW w:type="dxa" w:w="8310"/>
            <w:tcBorders/>
            <w:shd w:fill="auto" w:val="clear"/>
            <w:tcMar>
              <w:top w:type="dxa" w:w="0"/>
              <w:left w:type="dxa" w:w="108"/>
              <w:bottom w:type="dxa" w:w="0"/>
              <w:right w:type="dxa" w:w="108"/>
            </w:tcMar>
          </w:tcPr>
          <w:p>
            <w:pPr>
              <w:pStyle w:val="style0"/>
              <w:jc w:val="both"/>
            </w:pPr>
            <w:r>
              <w:rPr/>
            </w:r>
          </w:p>
        </w:tc>
        <w:tc>
          <w:tcPr>
            <w:tcW w:type="dxa" w:w="1917"/>
            <w:tcBorders/>
            <w:shd w:fill="auto" w:val="clear"/>
            <w:tcMar>
              <w:top w:type="dxa" w:w="0"/>
              <w:left w:type="dxa" w:w="108"/>
              <w:bottom w:type="dxa" w:w="0"/>
              <w:right w:type="dxa" w:w="108"/>
            </w:tcMar>
          </w:tcPr>
          <w:p>
            <w:pPr>
              <w:pStyle w:val="style0"/>
              <w:jc w:val="both"/>
            </w:pPr>
            <w:r>
              <w:rPr/>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6</w:t>
            </w:r>
          </w:p>
        </w:tc>
        <w:tc>
          <w:tcPr>
            <w:tcW w:type="dxa" w:w="2462"/>
            <w:tcBorders/>
            <w:shd w:fill="auto" w:val="clear"/>
            <w:tcMar>
              <w:top w:type="dxa" w:w="0"/>
              <w:left w:type="dxa" w:w="108"/>
              <w:bottom w:type="dxa" w:w="0"/>
              <w:right w:type="dxa" w:w="108"/>
            </w:tcMar>
          </w:tcPr>
          <w:p>
            <w:pPr>
              <w:pStyle w:val="style0"/>
              <w:jc w:val="both"/>
            </w:pPr>
            <w:r>
              <w:rPr>
                <w:rFonts w:ascii="Times New Roman" w:cs="Times New Roman" w:hAnsi="Times New Roman"/>
                <w:sz w:val="24"/>
                <w:szCs w:val="24"/>
                <w:lang w:eastAsia="en-CA" w:val="en-CA"/>
              </w:rPr>
              <w:t>In Fig. 6, why MOA* requires the most computing time?</w:t>
            </w:r>
          </w:p>
        </w:tc>
        <w:tc>
          <w:tcPr>
            <w:tcW w:type="dxa" w:w="8310"/>
            <w:tcBorders/>
            <w:shd w:fill="auto" w:val="clear"/>
            <w:tcMar>
              <w:top w:type="dxa" w:w="0"/>
              <w:left w:type="dxa" w:w="108"/>
              <w:bottom w:type="dxa" w:w="0"/>
              <w:right w:type="dxa" w:w="108"/>
            </w:tcMar>
          </w:tcPr>
          <w:p>
            <w:pPr>
              <w:pStyle w:val="style0"/>
            </w:pPr>
            <w:r>
              <w:rPr/>
            </w:r>
          </w:p>
        </w:tc>
        <w:tc>
          <w:tcPr>
            <w:tcW w:type="dxa" w:w="1917"/>
            <w:tcBorders/>
            <w:shd w:fill="auto" w:val="clear"/>
            <w:tcMar>
              <w:top w:type="dxa" w:w="0"/>
              <w:left w:type="dxa" w:w="108"/>
              <w:bottom w:type="dxa" w:w="0"/>
              <w:right w:type="dxa" w:w="108"/>
            </w:tcMar>
          </w:tcPr>
          <w:p>
            <w:pPr>
              <w:pStyle w:val="style0"/>
            </w:pPr>
            <w:r>
              <w:rPr/>
            </w:r>
          </w:p>
        </w:tc>
      </w:tr>
      <w:tr>
        <w:trPr>
          <w:trHeight w:hRule="atLeast" w:val="833"/>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7</w:t>
            </w:r>
          </w:p>
        </w:tc>
        <w:tc>
          <w:tcPr>
            <w:tcW w:type="dxa" w:w="2462"/>
            <w:tcBorders/>
            <w:shd w:fill="auto" w:val="clear"/>
            <w:tcMar>
              <w:top w:type="dxa" w:w="0"/>
              <w:left w:type="dxa" w:w="108"/>
              <w:bottom w:type="dxa" w:w="0"/>
              <w:right w:type="dxa" w:w="108"/>
            </w:tcMar>
          </w:tcPr>
          <w:p>
            <w:pPr>
              <w:pStyle w:val="style0"/>
            </w:pPr>
            <w:r>
              <w:rPr>
                <w:rFonts w:ascii="Times New Roman" w:cs="Times New Roman" w:hAnsi="Times New Roman"/>
                <w:sz w:val="24"/>
                <w:szCs w:val="24"/>
                <w:lang w:eastAsia="en-CA" w:val="en-CA"/>
              </w:rPr>
              <w:t>For MOGPP method, please explain that how to judge the chromosome is non-dominated and how to update or replace the old chromosome.</w:t>
            </w:r>
          </w:p>
        </w:tc>
        <w:tc>
          <w:tcPr>
            <w:tcW w:type="dxa" w:w="8310"/>
            <w:tcBorders/>
            <w:shd w:fill="auto" w:val="clear"/>
            <w:tcMar>
              <w:top w:type="dxa" w:w="0"/>
              <w:left w:type="dxa" w:w="108"/>
              <w:bottom w:type="dxa" w:w="0"/>
              <w:right w:type="dxa" w:w="108"/>
            </w:tcMar>
          </w:tcPr>
          <w:p>
            <w:pPr>
              <w:pStyle w:val="style0"/>
              <w:jc w:val="both"/>
            </w:pPr>
            <w:r>
              <w:rPr/>
            </w:r>
          </w:p>
        </w:tc>
        <w:tc>
          <w:tcPr>
            <w:tcW w:type="dxa" w:w="1917"/>
            <w:tcBorders/>
            <w:shd w:fill="auto" w:val="clear"/>
            <w:tcMar>
              <w:top w:type="dxa" w:w="0"/>
              <w:left w:type="dxa" w:w="108"/>
              <w:bottom w:type="dxa" w:w="0"/>
              <w:right w:type="dxa" w:w="108"/>
            </w:tcMar>
          </w:tcPr>
          <w:p>
            <w:pPr>
              <w:pStyle w:val="style0"/>
            </w:pPr>
            <w:r>
              <w:rPr/>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8</w:t>
            </w:r>
          </w:p>
        </w:tc>
        <w:tc>
          <w:tcPr>
            <w:tcW w:type="dxa" w:w="2462"/>
            <w:tcBorders/>
            <w:shd w:fill="auto" w:val="clear"/>
            <w:tcMar>
              <w:top w:type="dxa" w:w="0"/>
              <w:left w:type="dxa" w:w="108"/>
              <w:bottom w:type="dxa" w:w="0"/>
              <w:right w:type="dxa" w:w="108"/>
            </w:tcMar>
          </w:tcPr>
          <w:p>
            <w:pPr>
              <w:pStyle w:val="style0"/>
            </w:pPr>
            <w:r>
              <w:rPr>
                <w:rFonts w:ascii="Times New Roman" w:cs="Times New Roman" w:hAnsi="Times New Roman"/>
                <w:sz w:val="24"/>
                <w:szCs w:val="24"/>
                <w:lang w:eastAsia="en-CA" w:val="en-CA"/>
              </w:rPr>
              <w:t>In Section V-B, page 10, the agent has found three paths with costs (15, 200), (18, 230) and (23, 260). The agent tends to choose the path with cost (18, 230). Please explain why it does not choose the path with (15, 200) since (15,200) dominates (18,230).</w:t>
            </w:r>
          </w:p>
        </w:tc>
        <w:tc>
          <w:tcPr>
            <w:tcW w:type="dxa" w:w="8310"/>
            <w:tcBorders/>
            <w:shd w:fill="auto" w:val="clear"/>
            <w:tcMar>
              <w:top w:type="dxa" w:w="0"/>
              <w:left w:type="dxa" w:w="108"/>
              <w:bottom w:type="dxa" w:w="0"/>
              <w:right w:type="dxa" w:w="108"/>
            </w:tcMar>
          </w:tcPr>
          <w:p>
            <w:pPr>
              <w:pStyle w:val="style0"/>
              <w:jc w:val="both"/>
            </w:pPr>
            <w:r>
              <w:rPr/>
            </w:r>
          </w:p>
        </w:tc>
        <w:tc>
          <w:tcPr>
            <w:tcW w:type="dxa" w:w="1917"/>
            <w:tcBorders/>
            <w:shd w:fill="auto" w:val="clear"/>
            <w:tcMar>
              <w:top w:type="dxa" w:w="0"/>
              <w:left w:type="dxa" w:w="108"/>
              <w:bottom w:type="dxa" w:w="0"/>
              <w:right w:type="dxa" w:w="108"/>
            </w:tcMar>
          </w:tcPr>
          <w:p>
            <w:pPr>
              <w:pStyle w:val="style0"/>
            </w:pPr>
            <w:r>
              <w:rPr/>
            </w:r>
          </w:p>
        </w:tc>
      </w:tr>
      <w:tr>
        <w:trPr>
          <w:cantSplit w:val="false"/>
        </w:trPr>
        <w:tc>
          <w:tcPr>
            <w:tcW w:type="dxa" w:w="532"/>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9</w:t>
            </w:r>
          </w:p>
        </w:tc>
        <w:tc>
          <w:tcPr>
            <w:tcW w:type="dxa" w:w="2462"/>
            <w:tcBorders/>
            <w:shd w:fill="auto" w:val="clear"/>
            <w:tcMar>
              <w:top w:type="dxa" w:w="0"/>
              <w:left w:type="dxa" w:w="108"/>
              <w:bottom w:type="dxa" w:w="0"/>
              <w:right w:type="dxa" w:w="108"/>
            </w:tcMar>
          </w:tcPr>
          <w:p>
            <w:pPr>
              <w:pStyle w:val="style0"/>
            </w:pPr>
            <w:r>
              <w:rPr>
                <w:rFonts w:ascii="Times New Roman" w:cs="Times New Roman" w:hAnsi="Times New Roman"/>
                <w:sz w:val="24"/>
                <w:szCs w:val="24"/>
                <w:lang w:eastAsia="en-CA" w:val="en-CA"/>
              </w:rPr>
              <w:t>In Section V, both MOD* Lite and MOA* method require re-plan while the environment changes. Please state that why MOA* requires much time compared with MOD* Lite.</w:t>
            </w:r>
          </w:p>
        </w:tc>
        <w:tc>
          <w:tcPr>
            <w:tcW w:type="dxa" w:w="8310"/>
            <w:tcBorders/>
            <w:shd w:fill="auto" w:val="clear"/>
            <w:tcMar>
              <w:top w:type="dxa" w:w="0"/>
              <w:left w:type="dxa" w:w="108"/>
              <w:bottom w:type="dxa" w:w="0"/>
              <w:right w:type="dxa" w:w="108"/>
            </w:tcMar>
          </w:tcPr>
          <w:p>
            <w:pPr>
              <w:pStyle w:val="style0"/>
            </w:pPr>
            <w:r>
              <w:rPr/>
            </w:r>
          </w:p>
        </w:tc>
        <w:tc>
          <w:tcPr>
            <w:tcW w:type="dxa" w:w="1917"/>
            <w:tcBorders/>
            <w:shd w:fill="auto" w:val="clear"/>
            <w:tcMar>
              <w:top w:type="dxa" w:w="0"/>
              <w:left w:type="dxa" w:w="108"/>
              <w:bottom w:type="dxa" w:w="0"/>
              <w:right w:type="dxa" w:w="108"/>
            </w:tcMar>
          </w:tcPr>
          <w:p>
            <w:pPr>
              <w:pStyle w:val="style0"/>
            </w:pPr>
            <w:r>
              <w:rPr/>
            </w:r>
          </w:p>
        </w:tc>
      </w:tr>
    </w:tbl>
    <w:p>
      <w:pPr>
        <w:pStyle w:val="style0"/>
        <w:spacing w:after="0" w:before="0"/>
      </w:pPr>
      <w:r>
        <w:rPr>
          <w:rFonts w:ascii="Times New Roman" w:cs="Times New Roman" w:hAnsi="Times New Roman"/>
          <w:i/>
          <w:sz w:val="24"/>
          <w:szCs w:val="24"/>
        </w:rPr>
        <w:t>* Throughout the letter, the section and figure numbers are referred to our revised version of the paper, unless it is specified as in old version.</w:t>
      </w:r>
    </w:p>
    <w:p>
      <w:pPr>
        <w:pStyle w:val="style0"/>
        <w:spacing w:after="0" w:before="0"/>
        <w:jc w:val="both"/>
      </w:pPr>
      <w:r>
        <w:rPr>
          <w:rFonts w:ascii="Times New Roman" w:cs="Times New Roman" w:hAnsi="Times New Roman"/>
          <w:i/>
          <w:sz w:val="24"/>
          <w:szCs w:val="24"/>
        </w:rPr>
        <w:t>** Throughout the letter, all figures and tables included in the Appendix of this letter are specified as “in Appendix below”.</w:t>
      </w:r>
    </w:p>
    <w:p>
      <w:pPr>
        <w:pStyle w:val="style0"/>
        <w:spacing w:after="0" w:before="0"/>
        <w:jc w:val="both"/>
      </w:pPr>
      <w:r>
        <w:rPr>
          <w:rFonts w:ascii="Times New Roman" w:cs="Times New Roman" w:hAnsi="Times New Roman"/>
          <w:i/>
          <w:sz w:val="24"/>
          <w:szCs w:val="24"/>
        </w:rPr>
      </w:r>
    </w:p>
    <w:p>
      <w:pPr>
        <w:pStyle w:val="style0"/>
        <w:spacing w:after="0" w:before="0"/>
        <w:jc w:val="both"/>
      </w:pPr>
      <w:r>
        <w:rPr>
          <w:rFonts w:ascii="Times New Roman" w:cs="Times New Roman" w:hAnsi="Times New Roman"/>
          <w:i/>
          <w:sz w:val="24"/>
          <w:szCs w:val="24"/>
        </w:rPr>
        <w:t>***</w:t>
      </w:r>
      <w:r>
        <w:rPr>
          <w:rFonts w:ascii="Times New Roman" w:cs="Times New Roman" w:hAnsi="Times New Roman"/>
          <w:bCs/>
          <w:i/>
          <w:iCs/>
          <w:sz w:val="24"/>
          <w:szCs w:val="24"/>
        </w:rPr>
        <w:t xml:space="preserve"> In the revised manuscript, all textual insertions are marked with red, deleted ones with green.</w:t>
      </w:r>
    </w:p>
    <w:p>
      <w:pPr>
        <w:pStyle w:val="style0"/>
        <w:spacing w:after="0" w:before="0"/>
        <w:jc w:val="both"/>
      </w:pPr>
      <w:r>
        <w:rPr>
          <w:rFonts w:ascii="Times New Roman" w:cs="Times New Roman" w:hAnsi="Times New Roman"/>
          <w:sz w:val="24"/>
          <w:szCs w:val="24"/>
        </w:rPr>
      </w:r>
    </w:p>
    <w:p>
      <w:pPr>
        <w:pStyle w:val="style0"/>
        <w:spacing w:after="0" w:before="0"/>
      </w:pPr>
      <w:r>
        <w:rPr>
          <w:rFonts w:ascii="Times New Roman" w:cs="Times New Roman" w:hAnsi="Times New Roman"/>
          <w:b/>
          <w:bCs/>
          <w:sz w:val="28"/>
          <w:szCs w:val="28"/>
        </w:rPr>
        <w:t>References</w:t>
      </w:r>
    </w:p>
    <w:p>
      <w:pPr>
        <w:pStyle w:val="style0"/>
        <w:spacing w:after="0" w:before="0"/>
      </w:pPr>
      <w:r>
        <w:rPr>
          <w:rFonts w:ascii="Times New Roman" w:cs="Times New Roman" w:hAnsi="Times New Roman"/>
          <w:sz w:val="24"/>
          <w:szCs w:val="24"/>
        </w:rPr>
      </w:r>
    </w:p>
    <w:p>
      <w:pPr>
        <w:pStyle w:val="style0"/>
        <w:spacing w:after="0" w:before="0"/>
        <w:jc w:val="both"/>
      </w:pPr>
      <w:r>
        <w:rPr>
          <w:rFonts w:ascii="Times New Roman" w:cs="Times New Roman" w:hAnsi="Times New Roman"/>
          <w:sz w:val="24"/>
          <w:szCs w:val="24"/>
        </w:rPr>
      </w:r>
    </w:p>
    <w:p>
      <w:pPr>
        <w:pStyle w:val="style0"/>
        <w:spacing w:after="0" w:before="0"/>
        <w:jc w:val="both"/>
      </w:pPr>
      <w:r>
        <w:rPr>
          <w:rFonts w:ascii="Times New Roman" w:cs="Times New Roman" w:hAnsi="Times New Roman"/>
          <w:sz w:val="24"/>
          <w:szCs w:val="24"/>
        </w:rPr>
      </w:r>
    </w:p>
    <w:p>
      <w:pPr>
        <w:pStyle w:val="style0"/>
        <w:spacing w:after="0" w:before="0"/>
        <w:jc w:val="center"/>
      </w:pPr>
      <w:r>
        <w:rPr>
          <w:rFonts w:ascii="Times New Roman" w:cs="Times New Roman" w:hAnsi="Times New Roman"/>
          <w:b/>
          <w:bCs/>
          <w:sz w:val="28"/>
          <w:szCs w:val="28"/>
        </w:rPr>
        <w:t>Appendix</w:t>
      </w:r>
    </w:p>
    <w:sectPr>
      <w:type w:val="nextPage"/>
      <w:pgSz w:h="12240" w:orient="landscape" w:w="15840"/>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Önceden Biçimlendirilmiş1"/>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true"/>
      <w:spacing w:after="0" w:before="0" w:line="100" w:lineRule="atLeast"/>
    </w:pPr>
    <w:rPr>
      <w:rFonts w:ascii="Courier New" w:cs="Courier New" w:eastAsia="Times New Roman" w:hAnsi="Courier New"/>
      <w:sz w:val="20"/>
      <w:szCs w:val="20"/>
      <w:lang w:eastAsia="zh-CN"/>
    </w:rPr>
  </w:style>
  <w:style w:styleId="style24" w:type="paragraph">
    <w:name w:val="List Paragraph"/>
    <w:basedOn w:val="style0"/>
    <w:next w:val="style24"/>
    <w:pPr>
      <w:ind w:hanging="0" w:left="720" w:right="0"/>
    </w:pPr>
    <w:rPr/>
  </w:style>
  <w:style w:styleId="style25" w:type="paragraph">
    <w:name w:val="Table Contents"/>
    <w:basedOn w:val="style0"/>
    <w:next w:val="style25"/>
    <w:pPr>
      <w:suppressLineNumbers/>
      <w:suppressAutoHyphens w:val="true"/>
      <w:spacing w:after="0" w:before="0" w:line="100" w:lineRule="atLeast"/>
    </w:pPr>
    <w:rPr>
      <w:rFonts w:ascii="Times New Roman" w:cs="Times New Roman" w:eastAsia="Times New Roman" w:hAnsi="Times New Roman"/>
      <w:sz w:val="24"/>
      <w:szCs w:val="24"/>
      <w:lang w:eastAsia="zh-CN"/>
    </w:rPr>
  </w:style>
  <w:style w:styleId="style26" w:type="paragraph">
    <w:name w:val="Balloon Text"/>
    <w:basedOn w:val="style0"/>
    <w:next w:val="style2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2013-08-02T20:07:00.00Z</dcterms:modified>
  <cp:revision>41</cp:revision>
</cp:coreProperties>
</file>