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Sicherheitsanforderungen an Lieferanten, Dienstleister und Subunternehmer</w:t>
      </w:r>
    </w:p>
    <w:p>
      <w:r>
        <w:rPr>
          <w:i/>
          <w:sz w:val="18"/>
        </w:rPr>
        <w:t>Version 1.2 · gültig ab 01.02.2025 · Verantwortlich: Einkauf (Martina Leitner) gemeinsam mit dem ISB · Klassifizierung: INTERN</w:t>
      </w:r>
    </w:p>
    <w:p>
      <w:pPr>
        <w:pStyle w:val="Heading1"/>
      </w:pPr>
      <w:r>
        <w:t>1. Zweck</w:t>
      </w:r>
    </w:p>
    <w:p>
      <w:r>
        <w:t>Nordwind arbeitet täglich mit einer Vielzahl externer Partner zusammen – vom Softwarehersteller des Lagerverwaltungssystems bis zum Frachtführer, der im Auftrag von Nordwind zustellt. Diese Richtlinie legt fest, welche Sicherheitsanforderungen an diese Partner gestellt werden, wie sie geprüft und wie sie vertraglich abgesichert werden.</w:t>
      </w:r>
    </w:p>
    <w:p>
      <w:pPr>
        <w:pStyle w:val="Heading1"/>
      </w:pPr>
      <w:r>
        <w:t>2. Lieferantenklassen</w:t>
      </w:r>
    </w:p>
    <w:tbl>
      <w:tblPr>
        <w:tblStyle w:val="TableGrid"/>
        <w:tblW w:type="auto" w:w="0"/>
        <w:tblLook w:firstColumn="1" w:firstRow="1" w:lastColumn="0" w:lastRow="0" w:noHBand="0" w:noVBand="1" w:val="04A0"/>
      </w:tblPr>
      <w:tblGrid>
        <w:gridCol w:w="2268"/>
        <w:gridCol w:w="2268"/>
        <w:gridCol w:w="2268"/>
        <w:gridCol w:w="2268"/>
      </w:tblGrid>
      <w:tr>
        <w:tc>
          <w:tcPr>
            <w:tcW w:type="dxa" w:w="1361"/>
            <w:shd w:val="clear" w:color="auto" w:fill="DCE6F0"/>
          </w:tcPr>
          <w:p>
            <w:r/>
            <w:r>
              <w:rPr>
                <w:b/>
                <w:sz w:val="18"/>
              </w:rPr>
              <w:t>Klasse</w:t>
            </w:r>
          </w:p>
        </w:tc>
        <w:tc>
          <w:tcPr>
            <w:tcW w:type="dxa" w:w="2835"/>
            <w:shd w:val="clear" w:color="auto" w:fill="DCE6F0"/>
          </w:tcPr>
          <w:p>
            <w:r/>
            <w:r>
              <w:rPr>
                <w:b/>
                <w:sz w:val="18"/>
              </w:rPr>
              <w:t>Beschreibung</w:t>
            </w:r>
          </w:p>
        </w:tc>
        <w:tc>
          <w:tcPr>
            <w:tcW w:type="dxa" w:w="3402"/>
            <w:shd w:val="clear" w:color="auto" w:fill="DCE6F0"/>
          </w:tcPr>
          <w:p>
            <w:r/>
            <w:r>
              <w:rPr>
                <w:b/>
                <w:sz w:val="18"/>
              </w:rPr>
              <w:t>Beispiele</w:t>
            </w:r>
          </w:p>
        </w:tc>
        <w:tc>
          <w:tcPr>
            <w:tcW w:type="dxa" w:w="1474"/>
            <w:shd w:val="clear" w:color="auto" w:fill="DCE6F0"/>
          </w:tcPr>
          <w:p>
            <w:r/>
            <w:r>
              <w:rPr>
                <w:b/>
                <w:sz w:val="18"/>
              </w:rPr>
              <w:t>Review-Zyklus</w:t>
            </w:r>
          </w:p>
        </w:tc>
      </w:tr>
      <w:tr>
        <w:tc>
          <w:tcPr>
            <w:tcW w:type="dxa" w:w="1361"/>
          </w:tcPr>
          <w:p>
            <w:r/>
            <w:r>
              <w:rPr>
                <w:sz w:val="18"/>
              </w:rPr>
              <w:t>A – kritisch</w:t>
            </w:r>
          </w:p>
        </w:tc>
        <w:tc>
          <w:tcPr>
            <w:tcW w:type="dxa" w:w="2835"/>
          </w:tcPr>
          <w:p>
            <w:r/>
            <w:r>
              <w:rPr>
                <w:sz w:val="18"/>
              </w:rPr>
              <w:t>Zugriff auf kritische Systeme (LVS, TMS, Telematik) oder Betrieb von IT-Infrastruktur</w:t>
            </w:r>
          </w:p>
        </w:tc>
        <w:tc>
          <w:tcPr>
            <w:tcW w:type="dxa" w:w="3402"/>
          </w:tcPr>
          <w:p>
            <w:r/>
            <w:r>
              <w:rPr>
                <w:sz w:val="18"/>
              </w:rPr>
              <w:t>Lagerix Software GmbH (LVS-Hersteller), Rechenzentrums- und Netzwerkdienstleister, Telematikanbieter, Fördertechnik-Hersteller mit Fernwartung</w:t>
            </w:r>
          </w:p>
        </w:tc>
        <w:tc>
          <w:tcPr>
            <w:tcW w:type="dxa" w:w="1474"/>
          </w:tcPr>
          <w:p>
            <w:r/>
            <w:r>
              <w:rPr>
                <w:sz w:val="18"/>
              </w:rPr>
              <w:t>jährlich</w:t>
            </w:r>
          </w:p>
        </w:tc>
      </w:tr>
      <w:tr>
        <w:tc>
          <w:tcPr>
            <w:tcW w:type="dxa" w:w="1361"/>
          </w:tcPr>
          <w:p>
            <w:r/>
            <w:r>
              <w:rPr>
                <w:sz w:val="18"/>
              </w:rPr>
            </w:r>
          </w:p>
        </w:tc>
        <w:tc>
          <w:tcPr>
            <w:tcW w:type="dxa" w:w="2835"/>
          </w:tcPr>
          <w:p>
            <w:r/>
            <w:r>
              <w:rPr>
                <w:sz w:val="18"/>
              </w:rPr>
            </w:r>
          </w:p>
        </w:tc>
        <w:tc>
          <w:tcPr>
            <w:tcW w:type="dxa" w:w="3402"/>
          </w:tcPr>
          <w:p>
            <w:r/>
            <w:r>
              <w:rPr>
                <w:sz w:val="18"/>
              </w:rPr>
            </w:r>
          </w:p>
        </w:tc>
        <w:tc>
          <w:tcPr>
            <w:tcW w:type="dxa" w:w="1474"/>
          </w:tcPr>
          <w:p>
            <w:r/>
            <w:r>
              <w:rPr>
                <w:sz w:val="18"/>
              </w:rPr>
            </w:r>
          </w:p>
        </w:tc>
      </w:tr>
      <w:tr>
        <w:tc>
          <w:tcPr>
            <w:tcW w:type="dxa" w:w="1361"/>
          </w:tcPr>
          <w:p>
            <w:r/>
            <w:r>
              <w:rPr>
                <w:sz w:val="18"/>
              </w:rPr>
              <w:t>B – erhöht</w:t>
            </w:r>
          </w:p>
        </w:tc>
        <w:tc>
          <w:tcPr>
            <w:tcW w:type="dxa" w:w="2835"/>
          </w:tcPr>
          <w:p>
            <w:r/>
            <w:r>
              <w:rPr>
                <w:sz w:val="18"/>
              </w:rPr>
              <w:t>Verarbeitung von Sendungs- oder Kundendaten bzw. Zugriff auf die Fahrer-App, ohne Systemadministration</w:t>
            </w:r>
          </w:p>
        </w:tc>
        <w:tc>
          <w:tcPr>
            <w:tcW w:type="dxa" w:w="3402"/>
          </w:tcPr>
          <w:p>
            <w:r/>
            <w:r>
              <w:rPr>
                <w:sz w:val="18"/>
              </w:rPr>
              <w:t>Transport-Subunternehmer (Frachtführer), Zustellpartner, Personaldienstleister</w:t>
            </w:r>
          </w:p>
        </w:tc>
        <w:tc>
          <w:tcPr>
            <w:tcW w:type="dxa" w:w="1474"/>
          </w:tcPr>
          <w:p>
            <w:r/>
            <w:r>
              <w:rPr>
                <w:sz w:val="18"/>
              </w:rPr>
              <w:t>alle zwei Jahre</w:t>
            </w:r>
          </w:p>
        </w:tc>
      </w:tr>
      <w:tr>
        <w:tc>
          <w:tcPr>
            <w:tcW w:type="dxa" w:w="1361"/>
          </w:tcPr>
          <w:p>
            <w:r/>
            <w:r>
              <w:rPr>
                <w:sz w:val="18"/>
              </w:rPr>
            </w:r>
          </w:p>
        </w:tc>
        <w:tc>
          <w:tcPr>
            <w:tcW w:type="dxa" w:w="2835"/>
          </w:tcPr>
          <w:p>
            <w:r/>
            <w:r>
              <w:rPr>
                <w:sz w:val="18"/>
              </w:rPr>
            </w:r>
          </w:p>
        </w:tc>
        <w:tc>
          <w:tcPr>
            <w:tcW w:type="dxa" w:w="3402"/>
          </w:tcPr>
          <w:p>
            <w:r/>
            <w:r>
              <w:rPr>
                <w:sz w:val="18"/>
              </w:rPr>
            </w:r>
          </w:p>
        </w:tc>
        <w:tc>
          <w:tcPr>
            <w:tcW w:type="dxa" w:w="1474"/>
          </w:tcPr>
          <w:p>
            <w:r/>
            <w:r>
              <w:rPr>
                <w:sz w:val="18"/>
              </w:rPr>
            </w:r>
          </w:p>
        </w:tc>
      </w:tr>
      <w:tr>
        <w:tc>
          <w:tcPr>
            <w:tcW w:type="dxa" w:w="1361"/>
          </w:tcPr>
          <w:p>
            <w:r/>
            <w:r>
              <w:rPr>
                <w:sz w:val="18"/>
              </w:rPr>
              <w:t>C – normal</w:t>
            </w:r>
          </w:p>
        </w:tc>
        <w:tc>
          <w:tcPr>
            <w:tcW w:type="dxa" w:w="2835"/>
          </w:tcPr>
          <w:p>
            <w:r/>
            <w:r>
              <w:rPr>
                <w:sz w:val="18"/>
              </w:rPr>
              <w:t>Kein Zugriff auf Daten oder IT-Systeme</w:t>
            </w:r>
          </w:p>
        </w:tc>
        <w:tc>
          <w:tcPr>
            <w:tcW w:type="dxa" w:w="3402"/>
          </w:tcPr>
          <w:p>
            <w:r/>
            <w:r>
              <w:rPr>
                <w:sz w:val="18"/>
              </w:rPr>
              <w:t>Reinigung, Kantinenbetreiber, Lieferanten von Verpackungsmaterial</w:t>
            </w:r>
          </w:p>
        </w:tc>
        <w:tc>
          <w:tcPr>
            <w:tcW w:type="dxa" w:w="1474"/>
          </w:tcPr>
          <w:p>
            <w:r/>
            <w:r>
              <w:rPr>
                <w:sz w:val="18"/>
              </w:rPr>
              <w:t>anlassbezogen</w:t>
            </w:r>
          </w:p>
        </w:tc>
      </w:tr>
    </w:tbl>
    <w:p/>
    <w:p>
      <w:pPr>
        <w:pStyle w:val="Heading1"/>
      </w:pPr>
      <w:r>
        <w:t>3. Anforderungen vor Vertragsabschluss</w:t>
      </w:r>
    </w:p>
    <w:p>
      <w:r>
        <w:t>3.1 Lieferanten der Klassen A und B beantworten den Nordwind-Sicherheitsfragebogen.</w:t>
      </w:r>
    </w:p>
    <w:p>
      <w:r>
        <w:t>3.2 Mit allen Lieferanten, die Zugang zu internen Informationen erhalten, wird eine Geheimhaltungsvereinbarung (NDA) abgeschlossen.</w:t>
      </w:r>
    </w:p>
    <w:p>
      <w:r>
        <w:t>3.3 Werden personenbezogene Daten im Auftrag verarbeitet, ist ein Auftragsverarbeitungsvertrag nach Art. 28 DSGVO abzuschließen.</w:t>
      </w:r>
    </w:p>
    <w:p>
      <w:r>
        <w:t>3.4 Lieferanten der Klasse A weisen ein gültiges ISO/IEC 27001-Zertifikat oder einen gleichwertigen Nachweis (z. B. TISAX-Label, ISAE-3402-Bericht) nach. Nordwind behält sich ein Auditrecht vor.</w:t>
      </w:r>
    </w:p>
    <w:p>
      <w:r>
        <w:t>3.5 Verträge mit Klasse-A-Lieferanten werden vor Unterzeichnung vom ISB geprüft.</w:t>
      </w:r>
    </w:p>
    <w:p>
      <w:r>
        <w:rPr>
          <w:b/>
        </w:rPr>
        <w:t>Übersicht Mindestanforderungen je Klasse</w:t>
      </w:r>
    </w:p>
    <w:tbl>
      <w:tblPr>
        <w:tblStyle w:val="TableGrid"/>
        <w:tblW w:type="auto" w:w="0"/>
        <w:tblLook w:firstColumn="1" w:firstRow="1" w:lastColumn="0" w:lastRow="0" w:noHBand="0" w:noVBand="1" w:val="04A0"/>
      </w:tblPr>
      <w:tblGrid>
        <w:gridCol w:w="2268"/>
        <w:gridCol w:w="2268"/>
        <w:gridCol w:w="2268"/>
        <w:gridCol w:w="2268"/>
      </w:tblGrid>
      <w:tr>
        <w:tc>
          <w:tcPr>
            <w:tcW w:type="dxa" w:w="4535"/>
            <w:shd w:val="clear" w:color="auto" w:fill="DCE6F0"/>
          </w:tcPr>
          <w:p>
            <w:r/>
            <w:r>
              <w:rPr>
                <w:b/>
                <w:sz w:val="18"/>
              </w:rPr>
              <w:t>Anforderung</w:t>
            </w:r>
          </w:p>
        </w:tc>
        <w:tc>
          <w:tcPr>
            <w:tcW w:type="dxa" w:w="1134"/>
            <w:shd w:val="clear" w:color="auto" w:fill="DCE6F0"/>
          </w:tcPr>
          <w:p>
            <w:r/>
            <w:r>
              <w:rPr>
                <w:b/>
                <w:sz w:val="18"/>
              </w:rPr>
              <w:t>A</w:t>
            </w:r>
          </w:p>
        </w:tc>
        <w:tc>
          <w:tcPr>
            <w:tcW w:type="dxa" w:w="2268"/>
            <w:shd w:val="clear" w:color="auto" w:fill="DCE6F0"/>
          </w:tcPr>
          <w:p>
            <w:r/>
            <w:r>
              <w:rPr>
                <w:b/>
                <w:sz w:val="18"/>
              </w:rPr>
              <w:t>B</w:t>
            </w:r>
          </w:p>
        </w:tc>
        <w:tc>
          <w:tcPr>
            <w:tcW w:type="dxa" w:w="1134"/>
            <w:shd w:val="clear" w:color="auto" w:fill="DCE6F0"/>
          </w:tcPr>
          <w:p>
            <w:r/>
            <w:r>
              <w:rPr>
                <w:b/>
                <w:sz w:val="18"/>
              </w:rPr>
              <w:t>C</w:t>
            </w:r>
          </w:p>
        </w:tc>
      </w:tr>
      <w:tr>
        <w:tc>
          <w:tcPr>
            <w:tcW w:type="dxa" w:w="4535"/>
          </w:tcPr>
          <w:p>
            <w:r/>
            <w:r>
              <w:rPr>
                <w:sz w:val="18"/>
              </w:rPr>
              <w:t>Geheimhaltungsvereinbarung (NDA)</w:t>
            </w:r>
          </w:p>
        </w:tc>
        <w:tc>
          <w:tcPr>
            <w:tcW w:type="dxa" w:w="1134"/>
          </w:tcPr>
          <w:p>
            <w:r/>
            <w:r>
              <w:rPr>
                <w:sz w:val="18"/>
              </w:rPr>
              <w:t>ja</w:t>
            </w:r>
          </w:p>
        </w:tc>
        <w:tc>
          <w:tcPr>
            <w:tcW w:type="dxa" w:w="2268"/>
          </w:tcPr>
          <w:p>
            <w:r/>
            <w:r>
              <w:rPr>
                <w:sz w:val="18"/>
              </w:rPr>
              <w:t>ja</w:t>
            </w:r>
          </w:p>
        </w:tc>
        <w:tc>
          <w:tcPr>
            <w:tcW w:type="dxa" w:w="1134"/>
          </w:tcPr>
          <w:p>
            <w:r/>
            <w:r>
              <w:rPr>
                <w:sz w:val="18"/>
              </w:rPr>
              <w:t>bei Bedarf</w:t>
            </w:r>
          </w:p>
        </w:tc>
      </w:tr>
      <w:tr>
        <w:tc>
          <w:tcPr>
            <w:tcW w:type="dxa" w:w="4535"/>
          </w:tcPr>
          <w:p>
            <w:r/>
            <w:r>
              <w:rPr>
                <w:sz w:val="18"/>
              </w:rPr>
              <w:t>Sicherheitsfragebogen</w:t>
            </w:r>
          </w:p>
        </w:tc>
        <w:tc>
          <w:tcPr>
            <w:tcW w:type="dxa" w:w="1134"/>
          </w:tcPr>
          <w:p>
            <w:r/>
            <w:r>
              <w:rPr>
                <w:sz w:val="18"/>
              </w:rPr>
              <w:t>ja</w:t>
            </w:r>
          </w:p>
        </w:tc>
        <w:tc>
          <w:tcPr>
            <w:tcW w:type="dxa" w:w="2268"/>
          </w:tcPr>
          <w:p>
            <w:r/>
            <w:r>
              <w:rPr>
                <w:sz w:val="18"/>
              </w:rPr>
              <w:t>ja</w:t>
            </w:r>
          </w:p>
        </w:tc>
        <w:tc>
          <w:tcPr>
            <w:tcW w:type="dxa" w:w="1134"/>
          </w:tcPr>
          <w:p>
            <w:r/>
            <w:r>
              <w:rPr>
                <w:sz w:val="18"/>
              </w:rPr>
              <w:t>nein</w:t>
            </w:r>
          </w:p>
        </w:tc>
      </w:tr>
      <w:tr>
        <w:tc>
          <w:tcPr>
            <w:tcW w:type="dxa" w:w="4535"/>
          </w:tcPr>
          <w:p>
            <w:r/>
            <w:r>
              <w:rPr>
                <w:sz w:val="18"/>
              </w:rPr>
              <w:t>Auftragsverarbeitungsvertrag (bei personenbezogenen Daten)</w:t>
            </w:r>
          </w:p>
        </w:tc>
        <w:tc>
          <w:tcPr>
            <w:tcW w:type="dxa" w:w="1134"/>
          </w:tcPr>
          <w:p>
            <w:r/>
            <w:r>
              <w:rPr>
                <w:sz w:val="18"/>
              </w:rPr>
              <w:t>ja</w:t>
            </w:r>
          </w:p>
        </w:tc>
        <w:tc>
          <w:tcPr>
            <w:tcW w:type="dxa" w:w="2268"/>
          </w:tcPr>
          <w:p>
            <w:r/>
            <w:r>
              <w:rPr>
                <w:sz w:val="18"/>
              </w:rPr>
              <w:t>ja</w:t>
            </w:r>
          </w:p>
        </w:tc>
        <w:tc>
          <w:tcPr>
            <w:tcW w:type="dxa" w:w="1134"/>
          </w:tcPr>
          <w:p>
            <w:r/>
            <w:r>
              <w:rPr>
                <w:sz w:val="18"/>
              </w:rPr>
              <w:t>–</w:t>
            </w:r>
          </w:p>
        </w:tc>
      </w:tr>
      <w:tr>
        <w:tc>
          <w:tcPr>
            <w:tcW w:type="dxa" w:w="4535"/>
          </w:tcPr>
          <w:p>
            <w:r/>
            <w:r>
              <w:rPr>
                <w:sz w:val="18"/>
              </w:rPr>
              <w:t>Zertifikat ISO/IEC 27001 oder gleichwertig</w:t>
            </w:r>
          </w:p>
        </w:tc>
        <w:tc>
          <w:tcPr>
            <w:tcW w:type="dxa" w:w="1134"/>
          </w:tcPr>
          <w:p>
            <w:r/>
            <w:r>
              <w:rPr>
                <w:sz w:val="18"/>
              </w:rPr>
              <w:t>ja</w:t>
            </w:r>
          </w:p>
        </w:tc>
        <w:tc>
          <w:tcPr>
            <w:tcW w:type="dxa" w:w="2268"/>
          </w:tcPr>
          <w:p>
            <w:r/>
            <w:r>
              <w:rPr>
                <w:sz w:val="18"/>
              </w:rPr>
              <w:t>nein (empfohlen)</w:t>
            </w:r>
          </w:p>
        </w:tc>
        <w:tc>
          <w:tcPr>
            <w:tcW w:type="dxa" w:w="1134"/>
          </w:tcPr>
          <w:p>
            <w:r/>
            <w:r>
              <w:rPr>
                <w:sz w:val="18"/>
              </w:rPr>
              <w:t>nein</w:t>
            </w:r>
          </w:p>
        </w:tc>
      </w:tr>
      <w:tr>
        <w:tc>
          <w:tcPr>
            <w:tcW w:type="dxa" w:w="4535"/>
          </w:tcPr>
          <w:p>
            <w:r/>
            <w:r>
              <w:rPr>
                <w:sz w:val="18"/>
              </w:rPr>
              <w:t>Auditrecht</w:t>
            </w:r>
          </w:p>
        </w:tc>
        <w:tc>
          <w:tcPr>
            <w:tcW w:type="dxa" w:w="1134"/>
          </w:tcPr>
          <w:p>
            <w:r/>
            <w:r>
              <w:rPr>
                <w:sz w:val="18"/>
              </w:rPr>
              <w:t>ja</w:t>
            </w:r>
          </w:p>
        </w:tc>
        <w:tc>
          <w:tcPr>
            <w:tcW w:type="dxa" w:w="2268"/>
          </w:tcPr>
          <w:p>
            <w:r/>
            <w:r>
              <w:rPr>
                <w:sz w:val="18"/>
              </w:rPr>
              <w:t>ja, eingeschränkt auf Datenschutz</w:t>
            </w:r>
          </w:p>
        </w:tc>
        <w:tc>
          <w:tcPr>
            <w:tcW w:type="dxa" w:w="1134"/>
          </w:tcPr>
          <w:p>
            <w:r/>
            <w:r>
              <w:rPr>
                <w:sz w:val="18"/>
              </w:rPr>
              <w:t>nein</w:t>
            </w:r>
          </w:p>
        </w:tc>
      </w:tr>
      <w:tr>
        <w:tc>
          <w:tcPr>
            <w:tcW w:type="dxa" w:w="4535"/>
          </w:tcPr>
          <w:p>
            <w:r/>
            <w:r>
              <w:rPr>
                <w:sz w:val="18"/>
              </w:rPr>
              <w:t>Meldepflicht Sicherheitsvorfälle (Kap. 6)</w:t>
            </w:r>
          </w:p>
        </w:tc>
        <w:tc>
          <w:tcPr>
            <w:tcW w:type="dxa" w:w="1134"/>
          </w:tcPr>
          <w:p>
            <w:r/>
            <w:r>
              <w:rPr>
                <w:sz w:val="18"/>
              </w:rPr>
              <w:t>ja</w:t>
            </w:r>
          </w:p>
        </w:tc>
        <w:tc>
          <w:tcPr>
            <w:tcW w:type="dxa" w:w="2268"/>
          </w:tcPr>
          <w:p>
            <w:r/>
            <w:r>
              <w:rPr>
                <w:sz w:val="18"/>
              </w:rPr>
              <w:t>ja</w:t>
            </w:r>
          </w:p>
        </w:tc>
        <w:tc>
          <w:tcPr>
            <w:tcW w:type="dxa" w:w="1134"/>
          </w:tcPr>
          <w:p>
            <w:r/>
            <w:r>
              <w:rPr>
                <w:sz w:val="18"/>
              </w:rPr>
              <w:t>nein</w:t>
            </w:r>
          </w:p>
        </w:tc>
      </w:tr>
    </w:tbl>
    <w:p/>
    <w:p>
      <w:pPr>
        <w:pStyle w:val="Heading1"/>
      </w:pPr>
      <w:r>
        <w:t>4. Laufende Überwachung</w:t>
      </w:r>
    </w:p>
    <w:p>
      <w:r>
        <w:t>Lieferanten werden entsprechend dem Review-Zyklus ihrer Klasse überprüft (Klasse A jährlich, Klasse B alle zwei Jahre, Klasse C anlassbezogen). Die Ergebnisse werden im Lieferantenregister dokumentiert. Bei wesentlichen Mängeln wird ein Maßnahmenplan vereinbart; als letztes Mittel ist eine Kündigung möglich.</w:t>
      </w:r>
    </w:p>
    <w:p>
      <w:pPr>
        <w:pStyle w:val="Heading1"/>
      </w:pPr>
      <w:r>
        <w:t>5. Subunternehmer im Transport</w:t>
      </w:r>
    </w:p>
    <w:p>
      <w:r>
        <w:t>5.1 Jede Fahrerin und jeder Fahrer eines Subunternehmers erhält einen persönlichen Zugang zur Fahrer-App NordDrive. Sammel- oder geteilte Logins sind unzulässig.</w:t>
      </w:r>
    </w:p>
    <w:p>
      <w:r>
        <w:t>5.2 Zugänge werden auftragsbezogen vergeben und spätestens 48 Stunden nach Auftragsende deaktiviert. Bei Rahmenverträgen rezertifiziert die Disposition die aktiven Zugänge monatlich.</w:t>
      </w:r>
    </w:p>
    <w:p>
      <w:r>
        <w:t>5.3 Subunternehmer-Fahrer nutzen grundsätzlich von Nordwind bereitgestellte Fahrzeug-Tablets. Eigene Geräte (BYOD) sind nur mit der NordDrive-App im verwalteten App-Container (MDM-App-Schutz) zulässig.</w:t>
      </w:r>
    </w:p>
    <w:p>
      <w:r>
        <w:t>5.4 Sendungsdaten dürfen ausschließlich zur Auftragserfüllung verwendet werden. Eine Weitervergabe an weitere Subunternehmer ist nur nach schriftlicher Zustimmung von Nordwind zulässig.</w:t>
      </w:r>
    </w:p>
    <w:p>
      <w:r>
        <w:t>5.5 Der Subunternehmer unterweist seine Fahrerinnen und Fahrer vor dem ersten Einsatz anhand des Merkblatts Datenschutz – Umgang mit Sendungsdaten.</w:t>
      </w:r>
    </w:p>
    <w:p>
      <w:pPr>
        <w:pStyle w:val="Heading1"/>
      </w:pPr>
      <w:r>
        <w:t>6. Meldepflichten</w:t>
      </w:r>
    </w:p>
    <w:p>
      <w:r>
        <w:t>Lieferanten der Klassen A und B melden Sicherheitsvorfälle, die Nordwind-Daten oder -Systeme betreffen können, innerhalb von 24 Stunden nach Kenntnis an security@nordwind-logistics.example. Diese Pflicht ist im Vertrag zu vereinbaren.</w:t>
      </w:r>
    </w:p>
    <w:p>
      <w:pPr>
        <w:pStyle w:val="Heading1"/>
      </w:pPr>
      <w:r>
        <w:t>7. Fernzugriff und Fernwartung</w:t>
      </w:r>
    </w:p>
    <w:p>
      <w:pPr>
        <w:pStyle w:val="ListBullet"/>
      </w:pPr>
      <w:r>
        <w:t>Fernzugriffe erfolgen ausschließlich über den zentralen Jump-Host mit MFA.</w:t>
      </w:r>
    </w:p>
    <w:p>
      <w:pPr>
        <w:pStyle w:val="ListBullet"/>
      </w:pPr>
      <w:r>
        <w:t>Alle Sitzungen werden aufgezeichnet.</w:t>
      </w:r>
    </w:p>
    <w:p>
      <w:pPr>
        <w:pStyle w:val="ListBullet"/>
      </w:pPr>
      <w:r>
        <w:t>Jede Sitzung wird einzeln durch den IT-Betrieb freigeschaltet (Ticket).</w:t>
      </w:r>
    </w:p>
    <w:p>
      <w:pPr>
        <w:pStyle w:val="ListBullet"/>
      </w:pPr>
      <w:r>
        <w:t>Dauerhafte VPN-Zugänge für Lieferanten sind nicht zulässig; Ausnahmen genehmigt der ISB.</w:t>
      </w:r>
    </w:p>
    <w:p>
      <w:pPr>
        <w:pStyle w:val="Heading1"/>
      </w:pPr>
      <w:r>
        <w:t>8. Vertragsende</w:t>
      </w:r>
    </w:p>
    <w:p>
      <w:r>
        <w:t>Bei Vertragsende werden alle Zugänge deaktiviert und überlassene Geräte und Ausweise zurückgegeben. Der Lieferant gibt alle Nordwind-Daten zurück oder löscht sie innerhalb von 30 Tagen und bestätigt die Löschung schriftlich.</w:t>
      </w:r>
    </w:p>
    <w:p>
      <w:pPr>
        <w:pStyle w:val="Heading1"/>
      </w:pPr>
      <w:r>
        <w:t>9. Cloud-Dienstleister</w:t>
      </w:r>
    </w:p>
    <w:p>
      <w:r>
        <w:t>Für Anbieter von Cloud-Diensten gilt zusätzlich die Konzernrichtlinie NWG-POL-CLD-004 (Cloud Security Policy).</w:t>
      </w:r>
    </w:p>
    <w:sectPr w:rsidR="00FC693F" w:rsidRPr="0006063C" w:rsidSect="00034616">
      <w:headerReference w:type="default" r:id="rId9"/>
      <w:footerReference w:type="default" r:id="rId10"/>
      <w:pgSz w:w="11906" w:h="16838"/>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sz w:val="16"/>
      </w:rPr>
      <w:t>Version 1.2</w:t>
      <w:tab/>
      <w:t xml:space="preserve">Seite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pPr>
    <w:r>
      <w:rPr>
        <w:color w:val="555555"/>
        <w:sz w:val="16"/>
      </w:rPr>
      <w:t>Nordwind Logistics GmbH | Lieferanten- und Subunternehmersicherheit</w:t>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Sicherheitsanforderungen Lieferanten</dc:title>
  <dc:subject/>
  <dc:creator>Martina Leitner</dc:creator>
  <cp:keywords/>
  <dc:description>generated by python-docx</dc:description>
  <cp:lastModifiedBy>Martina Leitner</cp:lastModifiedBy>
  <cp:revision>1</cp:revision>
  <dcterms:created xsi:type="dcterms:W3CDTF">2013-12-23T23:15:00Z</dcterms:created>
  <dcterms:modified xsi:type="dcterms:W3CDTF">2013-12-23T23:15:00Z</dcterms:modified>
  <cp:category/>
</cp:coreProperties>
</file>