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Group Policy – Cloud Security</w:t>
      </w:r>
    </w:p>
    <w:tbl>
      <w:tblPr>
        <w:tblStyle w:val="TableGrid"/>
        <w:tblW w:type="auto" w:w="0"/>
        <w:tblLook w:firstColumn="1" w:firstRow="1" w:lastColumn="0" w:lastRow="0" w:noHBand="0" w:noVBand="1" w:val="04A0"/>
      </w:tblPr>
      <w:tblGrid>
        <w:gridCol w:w="4536"/>
        <w:gridCol w:w="4536"/>
      </w:tblGrid>
      <w:tr>
        <w:tc>
          <w:tcPr>
            <w:tcW w:type="dxa" w:w="2551"/>
          </w:tcPr>
          <w:p>
            <w:r/>
            <w:r>
              <w:rPr>
                <w:sz w:val="18"/>
              </w:rPr>
              <w:t>Policy ID</w:t>
            </w:r>
          </w:p>
        </w:tc>
        <w:tc>
          <w:tcPr>
            <w:tcW w:type="dxa" w:w="6520"/>
          </w:tcPr>
          <w:p>
            <w:r/>
            <w:r>
              <w:rPr>
                <w:sz w:val="18"/>
              </w:rPr>
              <w:t>NWG-POL-CLD-004</w:t>
            </w:r>
          </w:p>
        </w:tc>
      </w:tr>
      <w:tr>
        <w:tc>
          <w:tcPr>
            <w:tcW w:type="dxa" w:w="2551"/>
          </w:tcPr>
          <w:p>
            <w:r/>
            <w:r>
              <w:rPr>
                <w:sz w:val="18"/>
              </w:rPr>
              <w:t>Version</w:t>
            </w:r>
          </w:p>
        </w:tc>
        <w:tc>
          <w:tcPr>
            <w:tcW w:type="dxa" w:w="6520"/>
          </w:tcPr>
          <w:p>
            <w:r/>
            <w:r>
              <w:rPr>
                <w:sz w:val="18"/>
              </w:rPr>
              <w:t>1.3</w:t>
            </w:r>
          </w:p>
        </w:tc>
      </w:tr>
      <w:tr>
        <w:tc>
          <w:tcPr>
            <w:tcW w:type="dxa" w:w="2551"/>
          </w:tcPr>
          <w:p>
            <w:r/>
            <w:r>
              <w:rPr>
                <w:sz w:val="18"/>
              </w:rPr>
              <w:t>Effective date</w:t>
            </w:r>
          </w:p>
        </w:tc>
        <w:tc>
          <w:tcPr>
            <w:tcW w:type="dxa" w:w="6520"/>
          </w:tcPr>
          <w:p>
            <w:r/>
            <w:r>
              <w:rPr>
                <w:sz w:val="18"/>
              </w:rPr>
              <w:t>1 September 2024</w:t>
            </w:r>
          </w:p>
        </w:tc>
      </w:tr>
      <w:tr>
        <w:tc>
          <w:tcPr>
            <w:tcW w:type="dxa" w:w="2551"/>
          </w:tcPr>
          <w:p>
            <w:r/>
            <w:r>
              <w:rPr>
                <w:sz w:val="18"/>
              </w:rPr>
              <w:t>Policy owner</w:t>
            </w:r>
          </w:p>
        </w:tc>
        <w:tc>
          <w:tcPr>
            <w:tcW w:type="dxa" w:w="6520"/>
          </w:tcPr>
          <w:p>
            <w:r/>
            <w:r>
              <w:rPr>
                <w:sz w:val="18"/>
              </w:rPr>
              <w:t>Group CIO (Anouk Jansen)</w:t>
            </w:r>
          </w:p>
        </w:tc>
      </w:tr>
      <w:tr>
        <w:tc>
          <w:tcPr>
            <w:tcW w:type="dxa" w:w="2551"/>
          </w:tcPr>
          <w:p>
            <w:r/>
            <w:r>
              <w:rPr>
                <w:sz w:val="18"/>
              </w:rPr>
              <w:t>Security owner</w:t>
            </w:r>
          </w:p>
        </w:tc>
        <w:tc>
          <w:tcPr>
            <w:tcW w:type="dxa" w:w="6520"/>
          </w:tcPr>
          <w:p>
            <w:r/>
            <w:r>
              <w:rPr>
                <w:sz w:val="18"/>
              </w:rPr>
              <w:t>Group CISO (Joost Hendriks)</w:t>
            </w:r>
          </w:p>
        </w:tc>
      </w:tr>
      <w:tr>
        <w:tc>
          <w:tcPr>
            <w:tcW w:type="dxa" w:w="2551"/>
          </w:tcPr>
          <w:p>
            <w:r/>
            <w:r>
              <w:rPr>
                <w:sz w:val="18"/>
              </w:rPr>
              <w:t>Classification</w:t>
            </w:r>
          </w:p>
        </w:tc>
        <w:tc>
          <w:tcPr>
            <w:tcW w:type="dxa" w:w="6520"/>
          </w:tcPr>
          <w:p>
            <w:r/>
            <w:r>
              <w:rPr>
                <w:sz w:val="18"/>
              </w:rPr>
              <w:t>Internal</w:t>
            </w:r>
          </w:p>
        </w:tc>
      </w:tr>
    </w:tbl>
    <w:p/>
    <w:p>
      <w:pPr>
        <w:pStyle w:val="Heading2"/>
      </w:pPr>
      <w:r>
        <w:t>Revision history</w:t>
      </w:r>
    </w:p>
    <w:tbl>
      <w:tblPr>
        <w:tblStyle w:val="TableGrid"/>
        <w:tblW w:type="auto" w:w="0"/>
        <w:tblLook w:firstColumn="1" w:firstRow="1" w:lastColumn="0" w:lastRow="0" w:noHBand="0" w:noVBand="1" w:val="04A0"/>
      </w:tblPr>
      <w:tblGrid>
        <w:gridCol w:w="3024"/>
        <w:gridCol w:w="3024"/>
        <w:gridCol w:w="3024"/>
      </w:tblGrid>
      <w:tr>
        <w:tc>
          <w:tcPr>
            <w:tcW w:type="dxa" w:w="1134"/>
            <w:shd w:val="clear" w:color="auto" w:fill="DCE6F0"/>
          </w:tcPr>
          <w:p>
            <w:r/>
            <w:r>
              <w:rPr>
                <w:b/>
                <w:sz w:val="18"/>
              </w:rPr>
              <w:t>Version</w:t>
            </w:r>
          </w:p>
        </w:tc>
        <w:tc>
          <w:tcPr>
            <w:tcW w:type="dxa" w:w="1701"/>
            <w:shd w:val="clear" w:color="auto" w:fill="DCE6F0"/>
          </w:tcPr>
          <w:p>
            <w:r/>
            <w:r>
              <w:rPr>
                <w:b/>
                <w:sz w:val="18"/>
              </w:rPr>
              <w:t>Date</w:t>
            </w:r>
          </w:p>
        </w:tc>
        <w:tc>
          <w:tcPr>
            <w:tcW w:type="dxa" w:w="6236"/>
            <w:shd w:val="clear" w:color="auto" w:fill="DCE6F0"/>
          </w:tcPr>
          <w:p>
            <w:r/>
            <w:r>
              <w:rPr>
                <w:b/>
                <w:sz w:val="18"/>
              </w:rPr>
              <w:t>Change</w:t>
            </w:r>
          </w:p>
        </w:tc>
      </w:tr>
      <w:tr>
        <w:tc>
          <w:tcPr>
            <w:tcW w:type="dxa" w:w="1134"/>
          </w:tcPr>
          <w:p>
            <w:r/>
            <w:r>
              <w:rPr>
                <w:sz w:val="18"/>
              </w:rPr>
              <w:t>1.0</w:t>
            </w:r>
          </w:p>
        </w:tc>
        <w:tc>
          <w:tcPr>
            <w:tcW w:type="dxa" w:w="1701"/>
          </w:tcPr>
          <w:p>
            <w:r/>
            <w:r>
              <w:rPr>
                <w:sz w:val="18"/>
              </w:rPr>
              <w:t>2021-05-01</w:t>
            </w:r>
          </w:p>
        </w:tc>
        <w:tc>
          <w:tcPr>
            <w:tcW w:type="dxa" w:w="6236"/>
          </w:tcPr>
          <w:p>
            <w:r/>
            <w:r>
              <w:rPr>
                <w:sz w:val="18"/>
              </w:rPr>
              <w:t>Initial release</w:t>
            </w:r>
          </w:p>
        </w:tc>
      </w:tr>
      <w:tr>
        <w:tc>
          <w:tcPr>
            <w:tcW w:type="dxa" w:w="1134"/>
          </w:tcPr>
          <w:p>
            <w:r/>
            <w:r>
              <w:rPr>
                <w:sz w:val="18"/>
              </w:rPr>
              <w:t>1.2</w:t>
            </w:r>
          </w:p>
        </w:tc>
        <w:tc>
          <w:tcPr>
            <w:tcW w:type="dxa" w:w="1701"/>
          </w:tcPr>
          <w:p>
            <w:r/>
            <w:r>
              <w:rPr>
                <w:sz w:val="18"/>
              </w:rPr>
              <w:t>2023-02-01</w:t>
            </w:r>
          </w:p>
        </w:tc>
        <w:tc>
          <w:tcPr>
            <w:tcW w:type="dxa" w:w="6236"/>
          </w:tcPr>
          <w:p>
            <w:r/>
            <w:r>
              <w:rPr>
                <w:sz w:val="18"/>
              </w:rPr>
              <w:t>SaaS backup requirement added (4.7)</w:t>
            </w:r>
          </w:p>
        </w:tc>
      </w:tr>
      <w:tr>
        <w:tc>
          <w:tcPr>
            <w:tcW w:type="dxa" w:w="1134"/>
          </w:tcPr>
          <w:p>
            <w:r/>
            <w:r>
              <w:rPr>
                <w:sz w:val="18"/>
              </w:rPr>
              <w:t>1.3</w:t>
            </w:r>
          </w:p>
        </w:tc>
        <w:tc>
          <w:tcPr>
            <w:tcW w:type="dxa" w:w="1701"/>
          </w:tcPr>
          <w:p>
            <w:r/>
            <w:r>
              <w:rPr>
                <w:sz w:val="18"/>
              </w:rPr>
              <w:t>2024-07-15</w:t>
            </w:r>
          </w:p>
        </w:tc>
        <w:tc>
          <w:tcPr>
            <w:tcW w:type="dxa" w:w="6236"/>
          </w:tcPr>
          <w:p>
            <w:r/>
            <w:r>
              <w:rPr>
                <w:sz w:val="18"/>
              </w:rPr>
              <w:t>New section on generative AI (4.8); data residency clarified (4.3)</w:t>
            </w:r>
          </w:p>
        </w:tc>
      </w:tr>
    </w:tbl>
    <w:p/>
    <w:p>
      <w:pPr>
        <w:pStyle w:val="Heading1"/>
      </w:pPr>
      <w:r>
        <w:t>1. Purpose</w:t>
      </w:r>
    </w:p>
    <w:p>
      <w:r>
        <w:t>This policy sets out the mandatory security requirements for the selection, approval, use and termination of cloud services within the Nordwind Group.</w:t>
      </w:r>
    </w:p>
    <w:p>
      <w:pPr>
        <w:pStyle w:val="Heading1"/>
      </w:pPr>
      <w:r>
        <w:t>2. Scope</w:t>
      </w:r>
    </w:p>
    <w:p>
      <w:r>
        <w:t>This policy applies to all operating companies (OpCos) of the Nordwind Group and covers Infrastructure as a Service (IaaS), Platform as a Service (PaaS) and Software as a Service (SaaS), including free tiers, trial versions and browser-based tools that process company data.</w:t>
      </w:r>
    </w:p>
    <w:p>
      <w:pPr>
        <w:pStyle w:val="Heading1"/>
      </w:pPr>
      <w:r>
        <w:t>3. Roles</w:t>
      </w:r>
    </w:p>
    <w:p>
      <w:pPr>
        <w:pStyle w:val="ListBullet"/>
      </w:pPr>
      <w:r>
        <w:t>Group Cloud Board (GCB): approves cloud services for use within the Group and maintains the Group Cloud Register.</w:t>
      </w:r>
    </w:p>
    <w:p>
      <w:pPr>
        <w:pStyle w:val="ListBullet"/>
      </w:pPr>
      <w:r>
        <w:t>OpCo Information Security Officer (ISB): performs the local security assessment and supports the service owner.</w:t>
      </w:r>
    </w:p>
    <w:p>
      <w:pPr>
        <w:pStyle w:val="ListBullet"/>
      </w:pPr>
      <w:r>
        <w:t>Service owner: business owner of a cloud service, responsible for its compliant use and for the exit plan.</w:t>
      </w:r>
    </w:p>
    <w:p>
      <w:pPr>
        <w:pStyle w:val="Heading1"/>
      </w:pPr>
      <w:r>
        <w:t>4. Policy statements</w:t>
      </w:r>
    </w:p>
    <w:p>
      <w:pPr>
        <w:pStyle w:val="Heading2"/>
      </w:pPr>
      <w:r>
        <w:t>4.1 Approval</w:t>
      </w:r>
    </w:p>
    <w:p>
      <w:r>
        <w:t>No cloud service may be used to store or process company data before it has been approved by the Group Cloud Board and registered in the Group Cloud Register. This includes trials, proofs of concept and free tiers. The use of unapproved cloud services (“shadow IT”) is prohibited.</w:t>
      </w:r>
    </w:p>
    <w:p>
      <w:pPr>
        <w:pStyle w:val="Heading2"/>
      </w:pPr>
      <w:r>
        <w:t>4.2 Risk assessment</w:t>
      </w:r>
    </w:p>
    <w:p>
      <w:r>
        <w:t>Before onboarding, the provider must complete the Group Cloud Security Assessment questionnaire. The assessment is repeated every 2 years or upon material change. Where personal data is processed, a data processing agreement is mandatory.</w:t>
      </w:r>
    </w:p>
    <w:p>
      <w:pPr>
        <w:pStyle w:val="Heading2"/>
      </w:pPr>
      <w:r>
        <w:t>4.3 Data classification and residency</w:t>
      </w:r>
    </w:p>
    <w:p>
      <w:r>
        <w:t>Confidential and Strictly Confidential data – including customer data, consignment (shipment) data and personnel data – must be stored and processed within the EU/EEA only. Strictly Confidential data additionally requires customer-managed keys (CMK).</w:t>
      </w:r>
    </w:p>
    <w:p>
      <w:pPr>
        <w:pStyle w:val="Heading2"/>
      </w:pPr>
      <w:r>
        <w:t>4.4 Identity and access</w:t>
      </w:r>
    </w:p>
    <w:p>
      <w:pPr>
        <w:pStyle w:val="ListBullet"/>
      </w:pPr>
      <w:r>
        <w:t>Single sign-on via the Group identity provider is mandatory where technically supported.</w:t>
      </w:r>
    </w:p>
    <w:p>
      <w:pPr>
        <w:pStyle w:val="ListBullet"/>
      </w:pPr>
      <w:r>
        <w:t>Multi-factor authentication (MFA) is mandatory for all cloud accounts.</w:t>
      </w:r>
    </w:p>
    <w:p>
      <w:pPr>
        <w:pStyle w:val="ListBullet"/>
      </w:pPr>
      <w:r>
        <w:t>Administrative accounts must use phishing-resistant MFA (FIDO2 security keys).</w:t>
      </w:r>
    </w:p>
    <w:p>
      <w:pPr>
        <w:pStyle w:val="ListBullet"/>
      </w:pPr>
      <w:r>
        <w:t>Shared administrator accounts are prohibited; break-glass accounts are sealed and monitored.</w:t>
      </w:r>
    </w:p>
    <w:p>
      <w:pPr>
        <w:pStyle w:val="Heading2"/>
      </w:pPr>
      <w:r>
        <w:t>4.5 Encryption</w:t>
      </w:r>
    </w:p>
    <w:p>
      <w:r>
        <w:t>Encryption in transit and at rest must comply with GIS-STD-07 Cryptography Standard. Customer-managed keys are rotated in accordance with GIS-STD-07.</w:t>
      </w:r>
    </w:p>
    <w:p>
      <w:pPr>
        <w:pStyle w:val="Heading2"/>
      </w:pPr>
      <w:r>
        <w:t>4.6 Logging and monitoring</w:t>
      </w:r>
    </w:p>
    <w:p>
      <w:r>
        <w:t>Cloud audit logs must be forwarded to the Group SIEM and retained for at least 12 months.</w:t>
      </w:r>
    </w:p>
    <w:p>
      <w:pPr>
        <w:pStyle w:val="Heading2"/>
      </w:pPr>
      <w:r>
        <w:t>4.7 Backup of SaaS data</w:t>
      </w:r>
    </w:p>
    <w:p>
      <w:r>
        <w:t>Data held in SaaS applications (e.g. the office suite’s mail and file storage) must be backed up by an approved third-party backup service. Retention: 90 days. A restore test is performed at least annually.</w:t>
      </w:r>
    </w:p>
    <w:p>
      <w:pPr>
        <w:pStyle w:val="Heading2"/>
      </w:pPr>
      <w:r>
        <w:t>4.8 Generative AI services</w:t>
      </w:r>
    </w:p>
    <w:p>
      <w:r>
        <w:t>Internal, Confidential or Strictly Confidential information – including shipment data, customer names, delivery addresses and pricing – must not be entered into public generative AI services. Only enterprise AI services listed as approved in the Group Cloud Register may be used, and only within the classification limits stated there.</w:t>
      </w:r>
    </w:p>
    <w:p>
      <w:pPr>
        <w:pStyle w:val="Heading2"/>
      </w:pPr>
      <w:r>
        <w:t>4.9 Exit strategy</w:t>
      </w:r>
    </w:p>
    <w:p>
      <w:r>
        <w:t>For every cloud service rated “critical”, a documented exit plan must exist and be reviewed annually.</w:t>
      </w:r>
    </w:p>
    <w:p>
      <w:pPr>
        <w:pStyle w:val="Heading2"/>
      </w:pPr>
      <w:r>
        <w:t>4.10 On-premises core systems</w:t>
      </w:r>
    </w:p>
    <w:p>
      <w:r>
        <w:t>The warehouse management system (WMS) and the transport management system (TMS) of the OpCos are currently operated on-premises in the OpCo data centres. Any migration of these systems to a cloud service requires prior approval by the Group Cloud Board and an updated business impact analysis (BIA).</w:t>
      </w:r>
    </w:p>
    <w:p>
      <w:pPr>
        <w:pStyle w:val="Heading1"/>
      </w:pPr>
      <w:r>
        <w:t>5. Exceptions</w:t>
      </w:r>
    </w:p>
    <w:p>
      <w:r>
        <w:t>Exceptions require a risk assessment and written approval by the Group CISO. Exceptions are limited to 12 months.</w:t>
      </w:r>
    </w:p>
    <w:p>
      <w:pPr>
        <w:pStyle w:val="Heading1"/>
      </w:pPr>
      <w:r>
        <w:t>6. Compliance and enforcement</w:t>
      </w:r>
    </w:p>
    <w:p>
      <w:r>
        <w:t>Violations of this policy may result in the immediate suspension of the cloud service and in disciplinary measures in accordance with local labour law.</w:t>
      </w:r>
    </w:p>
    <w:p>
      <w:pPr>
        <w:pStyle w:val="Heading1"/>
      </w:pPr>
      <w:r>
        <w:t>7. Related documents</w:t>
      </w:r>
    </w:p>
    <w:p>
      <w:pPr>
        <w:pStyle w:val="ListBullet"/>
      </w:pPr>
      <w:r>
        <w:t>GIS-STD-07 Cryptography Standard</w:t>
      </w:r>
    </w:p>
    <w:p>
      <w:pPr>
        <w:pStyle w:val="ListBullet"/>
      </w:pPr>
      <w:r>
        <w:t>Group Incident Reporting Standard</w:t>
      </w:r>
    </w:p>
    <w:p>
      <w:pPr>
        <w:pStyle w:val="ListBullet"/>
      </w:pPr>
      <w:r>
        <w:t>Group Data Classification Standard</w:t>
      </w:r>
    </w:p>
    <w:sectPr w:rsidR="00FC693F" w:rsidRPr="0006063C" w:rsidSect="00034616">
      <w:headerReference w:type="default" r:id="rId9"/>
      <w:footerReference w:type="default" r:id="rId10"/>
      <w:pgSz w:w="11906" w:h="16838"/>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sz w:val="16"/>
      </w:rPr>
      <w:t>Cloud Security Policy v1.3</w:t>
      <w:tab/>
      <w:t xml:space="preserve">Page </w:t>
    </w:r>
    <w:fldSimple w:instr="PAGE">
      <w:r>
        <w:t>1</w:t>
      </w:r>
    </w:fldSimple>
    <w:r>
      <w:rPr>
        <w:sz w:val="16"/>
      </w:rP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pPr>
    <w:r>
      <w:rPr>
        <w:color w:val="555555"/>
        <w:sz w:val="16"/>
      </w:rPr>
      <w:t>Nordwind Group B.V. — Group Policy NWG-POL-CLD-004</w:t>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NWG-POL-CLD-004 Cloud Security Policy</dc:title>
  <dc:subject/>
  <dc:creator>Group Cloud CoE</dc:creator>
  <cp:keywords/>
  <dc:description>generated by python-docx</dc:description>
  <cp:lastModifiedBy>Group Cloud CoE</cp:lastModifiedBy>
  <cp:revision>1</cp:revision>
  <dcterms:created xsi:type="dcterms:W3CDTF">2013-12-23T23:15:00Z</dcterms:created>
  <dcterms:modified xsi:type="dcterms:W3CDTF">2013-12-23T23:15:00Z</dcterms:modified>
  <cp:category/>
</cp:coreProperties>
</file>