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Richtlinie Zugriffsmanagement (Identity &amp; Access Management)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DCE6F0"/>
          </w:tcPr>
          <w:p>
            <w:r/>
            <w:r>
              <w:rPr>
                <w:b/>
                <w:sz w:val="18"/>
              </w:rPr>
              <w:t>Dokument-Nr.</w:t>
            </w:r>
          </w:p>
        </w:tc>
        <w:tc>
          <w:tcPr>
            <w:tcW w:type="dxa" w:w="1020"/>
            <w:shd w:val="clear" w:color="auto" w:fill="DCE6F0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361"/>
            <w:shd w:val="clear" w:color="auto" w:fill="DCE6F0"/>
          </w:tcPr>
          <w:p>
            <w:r/>
            <w:r>
              <w:rPr>
                <w:b/>
                <w:sz w:val="18"/>
              </w:rPr>
              <w:t>Stand</w:t>
            </w:r>
          </w:p>
        </w:tc>
        <w:tc>
          <w:tcPr>
            <w:tcW w:type="dxa" w:w="2608"/>
            <w:shd w:val="clear" w:color="auto" w:fill="DCE6F0"/>
          </w:tcPr>
          <w:p>
            <w:r/>
            <w:r>
              <w:rPr>
                <w:b/>
                <w:sz w:val="18"/>
              </w:rPr>
              <w:t>Verantwortlich</w:t>
            </w:r>
          </w:p>
        </w:tc>
        <w:tc>
          <w:tcPr>
            <w:tcW w:type="dxa" w:w="2268"/>
            <w:shd w:val="clear" w:color="auto" w:fill="DCE6F0"/>
          </w:tcPr>
          <w:p>
            <w:r/>
            <w:r>
              <w:rPr>
                <w:b/>
                <w:sz w:val="18"/>
              </w:rPr>
              <w:t>Klassifizierung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NWL-ISMS-RL-004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10.06.2025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IT-Leitung / ISB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INTERN</w:t>
            </w:r>
          </w:p>
        </w:tc>
      </w:tr>
    </w:tbl>
    <w:p/>
    <w:p>
      <w:pPr>
        <w:pStyle w:val="Heading2"/>
      </w:pPr>
      <w:r>
        <w:t>Versionshistorie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"/>
            <w:shd w:val="clear" w:color="auto" w:fill="DCE6F0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361"/>
            <w:shd w:val="clear" w:color="auto" w:fill="DCE6F0"/>
          </w:tcPr>
          <w:p>
            <w:r/>
            <w:r>
              <w:rPr>
                <w:b/>
                <w:sz w:val="18"/>
              </w:rPr>
              <w:t>Datum</w:t>
            </w:r>
          </w:p>
        </w:tc>
        <w:tc>
          <w:tcPr>
            <w:tcW w:type="dxa" w:w="2041"/>
            <w:shd w:val="clear" w:color="auto" w:fill="DCE6F0"/>
          </w:tcPr>
          <w:p>
            <w:r/>
            <w:r>
              <w:rPr>
                <w:b/>
                <w:sz w:val="18"/>
              </w:rPr>
              <w:t>Autor</w:t>
            </w:r>
          </w:p>
        </w:tc>
        <w:tc>
          <w:tcPr>
            <w:tcW w:type="dxa" w:w="4762"/>
            <w:shd w:val="clear" w:color="auto" w:fill="DCE6F0"/>
          </w:tcPr>
          <w:p>
            <w:r/>
            <w:r>
              <w:rPr>
                <w:b/>
                <w:sz w:val="18"/>
              </w:rPr>
              <w:t>Änderung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01.02.2022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S. Hofbauer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Erstfassung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15.03.2023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S. Hofbauer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MFA für Webmail ergänzt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20.01.2024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M. Pichler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Passwortregeln überarbeitet: kein periodischer Passwortwechsel mehr, Abgleich gegen kompromittierte Passwörter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10.06.2025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M. Pichler, S. Hofbauer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Rezertifizierung auf halbjährlich umgestellt (§ 9); Regelungen für Externe und Subunternehmer (§ 12)</w:t>
            </w:r>
          </w:p>
        </w:tc>
      </w:tr>
    </w:tbl>
    <w:p/>
    <w:p>
      <w:pPr>
        <w:pStyle w:val="Heading1"/>
      </w:pPr>
      <w:r>
        <w:t>§ 1 Zweck und Geltungsbereich</w:t>
      </w:r>
    </w:p>
    <w:p>
      <w:r>
        <w:t>(1) Diese Richtlinie regelt die Vergabe, Änderung, Überprüfung und den Entzug von Zugriffsrechten auf IT-Systeme und Anwendungen der Nordwind Logistics GmbH, insbesondere Lagerverwaltungssystem (LVS), Transport-Management-System (TMS), ERP, Telematikplattform, E-Mail und Fileserver.</w:t>
      </w:r>
    </w:p>
    <w:p>
      <w:r>
        <w:t>(2) Sie gilt für alle Standorte in Österreich, Deutschland und Tschechien sowie für alle internen und externen Benutzerinnen und Benutzer.</w:t>
      </w:r>
    </w:p>
    <w:p>
      <w:pPr>
        <w:pStyle w:val="Heading1"/>
      </w:pPr>
      <w:r>
        <w:t>§ 2 Begriffe</w:t>
      </w:r>
    </w:p>
    <w:p>
      <w:r>
        <w:rPr>
          <w:b/>
        </w:rPr>
        <w:t>(1) Benutzerkonto:</w:t>
      </w:r>
      <w:r>
        <w:t xml:space="preserve"> ein einer natürlichen Person eindeutig zugeordnetes Konto für die Anmeldung an IT-Systemen.</w:t>
      </w:r>
    </w:p>
    <w:p>
      <w:r>
        <w:rPr>
          <w:b/>
        </w:rPr>
        <w:t>(2) Privilegiertes Konto:</w:t>
      </w:r>
      <w:r>
        <w:t xml:space="preserve"> Konto mit administrativen Rechten (z. B. Domänen-, Datenbank- oder LVS-Administration).</w:t>
      </w:r>
    </w:p>
    <w:p>
      <w:r>
        <w:rPr>
          <w:b/>
        </w:rPr>
        <w:t>(3) Systemowner:</w:t>
      </w:r>
      <w:r>
        <w:t xml:space="preserve"> die für ein IT-System fachlich verantwortliche Person; sie genehmigt Berechtigungen und führt das Berechtigungskonzept.</w:t>
      </w:r>
    </w:p>
    <w:p>
      <w:r>
        <w:rPr>
          <w:b/>
        </w:rPr>
        <w:t>(4) MFA (Multi-Faktor-Authentisierung):</w:t>
      </w:r>
      <w:r>
        <w:t xml:space="preserve"> Anmeldung mit mindestens zwei unabhängigen Faktoren (Wissen, Besitz, Biometrie).</w:t>
      </w:r>
    </w:p>
    <w:p>
      <w:pPr>
        <w:pStyle w:val="Heading1"/>
      </w:pPr>
      <w:r>
        <w:t>§ 3 Grundsätze</w:t>
      </w:r>
    </w:p>
    <w:p>
      <w:r>
        <w:t>(1) Zugriffsrechte werden ausschließlich nach den Prinzipien „Need-to-know“ und „Least Privilege“ vergeben.</w:t>
      </w:r>
    </w:p>
    <w:p>
      <w:r>
        <w:t>(2) Funktionstrennung: Im LVS dürfen die Rollen „Wareneingang“ und „Bestandskorrektur“ nicht derselben Person zugewiesen werden.</w:t>
      </w:r>
    </w:p>
    <w:p>
      <w:r>
        <w:t>(3) Benutzerkonten sind persönlich. Die Weitergabe von Zugangsdaten – auch an Kolleginnen und Kollegen derselben Schicht – ist verboten.</w:t>
      </w:r>
    </w:p>
    <w:p>
      <w:pPr>
        <w:pStyle w:val="Heading1"/>
      </w:pPr>
      <w:r>
        <w:t>§ 4 Beantragung und Vergabe</w:t>
      </w:r>
    </w:p>
    <w:p>
      <w:r>
        <w:t>(1) Zugriffsrechte werden über ein Ticket im Self-Service-Portal des IT-Servicedesks beantragt.</w:t>
      </w:r>
    </w:p>
    <w:p>
      <w:r>
        <w:t>(2) Jede Berechtigung muss durch die zuständige Führungskraft und den Systemowner genehmigt werden.</w:t>
      </w:r>
    </w:p>
    <w:p>
      <w:r>
        <w:t>(3) Der IT-Betrieb setzt genehmigte Anträge innerhalb von 3 Arbeitstagen um.</w:t>
      </w:r>
    </w:p>
    <w:p>
      <w:r>
        <w:t>(4) Für wiederkehrende Funktionen bestehen Standard-Rollenprofile (siehe Tabelle 1).</w:t>
      </w:r>
    </w:p>
    <w:p>
      <w:r>
        <w:rPr>
          <w:i/>
        </w:rPr>
        <w:t>Tabelle 1: Rollen im LVS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Rolle</w:t>
            </w:r>
          </w:p>
        </w:tc>
        <w:tc>
          <w:tcPr>
            <w:tcW w:type="dxa" w:w="4649"/>
            <w:shd w:val="clear" w:color="auto" w:fill="DCE6F0"/>
          </w:tcPr>
          <w:p>
            <w:r/>
            <w:r>
              <w:rPr>
                <w:b/>
                <w:sz w:val="18"/>
              </w:rPr>
              <w:t>Beschreibung</w:t>
            </w:r>
          </w:p>
        </w:tc>
        <w:tc>
          <w:tcPr>
            <w:tcW w:type="dxa" w:w="2268"/>
            <w:shd w:val="clear" w:color="auto" w:fill="DCE6F0"/>
          </w:tcPr>
          <w:p>
            <w:r/>
            <w:r>
              <w:rPr>
                <w:b/>
                <w:sz w:val="18"/>
              </w:rPr>
              <w:t>Genehmigung durch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Kommissionierer/in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Pickaufträge abrufen und bestätigen, Scannen am MDE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Schichtleitung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Staplerfahrer/in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Ein- und Auslagerungsaufträge, Umlagerungen am Staplerterminal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Schichtleitung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Wareneingang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Avise prüfen, Wareneingänge buchen, Etiketten drucken; nicht kombinierbar mit der Rolle „Bestandskorrektur“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Schichtleitung und Systemowner LVS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Bestandskorrektur / Inventur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Bestände korrigieren, Inventurdifferenzen buchen; ab 1.000 EUR Warenwert nur mit Vier-Augen-Freigabe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Systemowner LVS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LVS-Key-User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Stammdaten, Lagerplatzverwaltung, Benutzer-Support am Standort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Systemowner LVS und IT-Leitung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LVS-Administrator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Systemkonfiguration, Schnittstellen, Datenbankzugriff; nur mit adm-Konto (§ 7)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IT-Leitung und ISB</w:t>
            </w:r>
          </w:p>
        </w:tc>
      </w:tr>
    </w:tbl>
    <w:p/>
    <w:p>
      <w:pPr>
        <w:pStyle w:val="Heading1"/>
      </w:pPr>
      <w:r>
        <w:t>§ 5 Passwörter</w:t>
      </w:r>
    </w:p>
    <w:p>
      <w:r>
        <w:t>(1) Passwörter müssen mindestens 12 Zeichen lang sein und Zeichen aus mindestens drei der vier Zeichenklassen (Großbuchstaben, Kleinbuchstaben, Ziffern, Sonderzeichen) enthalten.</w:t>
      </w:r>
    </w:p>
    <w:p>
      <w:r>
        <w:t>(2) Passwörter für privilegierte Konten (adm-Konten) müssen mindestens 16 Zeichen lang sein.</w:t>
      </w:r>
    </w:p>
    <w:p>
      <w:r>
        <w:t>(3) Ein regelmäßiger, periodischer Passwortwechsel wird nicht erzwungen. Das Passwort ist jedoch unverzüglich zu ändern, wenn der Verdacht besteht, dass es Dritten bekannt geworden ist.</w:t>
      </w:r>
    </w:p>
    <w:p>
      <w:r>
        <w:t>(4) Neue Passwörter werden technisch gegen eine Liste bekannter kompromittierter Passwörter geprüft.</w:t>
      </w:r>
    </w:p>
    <w:p>
      <w:r>
        <w:t>(5) Nach 10 aufeinanderfolgenden Fehlversuchen wird das Konto gesperrt. Die Entsperrung erfolgt über den IT-Servicedesk nach Identitätsprüfung (Rückruf oder persönliches Erscheinen).</w:t>
      </w:r>
    </w:p>
    <w:p>
      <w:r>
        <w:t>(6) Zur Verwaltung dienstlicher Passwörter darf ausschließlich der vom IT-Betrieb bereitgestellte Passwort-Tresor verwendet werden.</w:t>
      </w:r>
    </w:p>
    <w:p>
      <w:pPr>
        <w:pStyle w:val="Heading1"/>
      </w:pPr>
      <w:r>
        <w:t>§ 6 Multi-Faktor-Authentisierung (MFA)</w:t>
      </w:r>
    </w:p>
    <w:p>
      <w:r>
        <w:t>(1) MFA ist verpflichtend für</w:t>
      </w:r>
    </w:p>
    <w:p>
      <w:pPr>
        <w:pStyle w:val="ListParagraph"/>
      </w:pPr>
      <w:r>
        <w:t>a) jeden Fernzugriff auf das Firmennetz (VPN),</w:t>
      </w:r>
    </w:p>
    <w:p>
      <w:pPr>
        <w:pStyle w:val="ListParagraph"/>
      </w:pPr>
      <w:r>
        <w:t>b) alle Cloud-Dienste und Webmail,</w:t>
      </w:r>
    </w:p>
    <w:p>
      <w:pPr>
        <w:pStyle w:val="ListParagraph"/>
      </w:pPr>
      <w:r>
        <w:t>c) alle privilegierten Konten,</w:t>
      </w:r>
    </w:p>
    <w:p>
      <w:pPr>
        <w:pStyle w:val="ListParagraph"/>
      </w:pPr>
      <w:r>
        <w:t>d) Fernwartungszugänge von Dienstleistern,</w:t>
      </w:r>
    </w:p>
    <w:p>
      <w:pPr>
        <w:pStyle w:val="ListParagraph"/>
      </w:pPr>
      <w:r>
        <w:t>e) den Zugriff auf das TMS von außerhalb des Firmennetzes.</w:t>
      </w:r>
    </w:p>
    <w:p>
      <w:r>
        <w:t>(2) Für Handscanner (MDE) im Lagernetz gilt eine abweichende Regelung gemäß Richtlinie Mobile Endgeräte.</w:t>
      </w:r>
    </w:p>
    <w:p>
      <w:pPr>
        <w:pStyle w:val="Heading1"/>
      </w:pPr>
      <w:r>
        <w:t>§ 7 Privilegierte Konten</w:t>
      </w:r>
    </w:p>
    <w:p>
      <w:r>
        <w:t>(1) Administrative Tätigkeiten erfolgen ausschließlich mit separaten Administratorkonten (Präfix „adm-“).</w:t>
      </w:r>
    </w:p>
    <w:p>
      <w:r>
        <w:t>(2) Mit adm-Konten dürfen weder E-Mails gelesen noch im Internet gesurft werden.</w:t>
      </w:r>
    </w:p>
    <w:p>
      <w:r>
        <w:t>(3) Passwörter von Dienst- und Notfallkonten werden im PAM-Tresor verwahrt; jeder Check-out wird protokolliert.</w:t>
      </w:r>
    </w:p>
    <w:p>
      <w:r>
        <w:t>(4) Die Nutzung privilegierter Konten wird protokolliert; die Protokolle werden 12 Monate aufbewahrt.</w:t>
      </w:r>
    </w:p>
    <w:p>
      <w:pPr>
        <w:pStyle w:val="Heading1"/>
      </w:pPr>
      <w:r>
        <w:t>§ 8 Eintritt, Wechsel und Austritt</w:t>
      </w:r>
    </w:p>
    <w:p>
      <w:r>
        <w:t>(1) Benutzerkonten werden zum Eintrittstag bereitgestellt, sofern die Personalabteilung den Eintritt mindestens 5 Arbeitstage vorher im Eintrittsworkflow erfasst hat.</w:t>
      </w:r>
    </w:p>
    <w:p>
      <w:r>
        <w:t>(2) Bei einem Abteilungs- oder Funktionswechsel werden nicht mehr benötigte Rechte innerhalb von 5 Arbeitstagen entzogen.</w:t>
      </w:r>
    </w:p>
    <w:p>
      <w:r>
        <w:t>(3) Bei Austritt wird das Benutzerkonto spätestens mit Ablauf des letzten Arbeitstags deaktiviert. Bei fristloser Beendigung erfolgt die Deaktivierung sofort nach Mitteilung durch die Personalabteilung.</w:t>
      </w:r>
    </w:p>
    <w:p>
      <w:r>
        <w:t>(4) Deaktivierte Konten werden nach 90 Tagen gelöscht.</w:t>
      </w:r>
    </w:p>
    <w:p>
      <w:pPr>
        <w:pStyle w:val="Heading1"/>
      </w:pPr>
      <w:r>
        <w:t>§ 9 Rezertifizierung</w:t>
      </w:r>
    </w:p>
    <w:p>
      <w:r>
        <w:t>(1) Alle Berechtigungen in LVS, TMS, ERP und auf Fileserver-Freigaben werden halbjährlich (jeweils im Juni und im Dezember) durch die zuständigen Führungskräfte rezertifiziert.</w:t>
      </w:r>
    </w:p>
    <w:p>
      <w:r>
        <w:t>(2) Privilegierte Konten werden quartalsweise durch IT-Leitung und ISB rezertifiziert.</w:t>
      </w:r>
    </w:p>
    <w:p>
      <w:r>
        <w:t>(3) Nicht innerhalb von 10 Arbeitstagen bestätigte Berechtigungen werden automatisch entzogen.</w:t>
      </w:r>
    </w:p>
    <w:p>
      <w:pPr>
        <w:pStyle w:val="Heading1"/>
      </w:pPr>
      <w:r>
        <w:t>§ 10 Bildschirmsperre</w:t>
      </w:r>
    </w:p>
    <w:p>
      <w:r>
        <w:t>(1) Arbeitsplatzrechner und Laptops sperren nach 10 Minuten Inaktivität automatisch.</w:t>
      </w:r>
    </w:p>
    <w:p>
      <w:r>
        <w:t>(2) Beim Verlassen des Arbeitsplatzes ist der Bildschirm manuell zu sperren (Win + L).</w:t>
      </w:r>
    </w:p>
    <w:p>
      <w:pPr>
        <w:pStyle w:val="Heading1"/>
      </w:pPr>
      <w:r>
        <w:t>§ 11 Sammel- und Gruppenkonten</w:t>
      </w:r>
    </w:p>
    <w:p>
      <w:r>
        <w:t>Sammel- und Gruppenkonten sind verboten. Ausgenommen sind reine Anzeige-Terminals (z. B. Leitstand-Monitore mit Lesezugriff), sofern der ISB sie genehmigt hat.</w:t>
      </w:r>
    </w:p>
    <w:p>
      <w:pPr>
        <w:pStyle w:val="Heading1"/>
      </w:pPr>
      <w:r>
        <w:t>§ 12 Externe und Subunternehmer</w:t>
      </w:r>
    </w:p>
    <w:p>
      <w:r>
        <w:t>(1) Konten für Externe werden nur über eine interne Ansprechperson (Auftraggeber) beantragt und auf höchstens 6 Monate befristet; eine Verlängerung ist möglich.</w:t>
      </w:r>
    </w:p>
    <w:p>
      <w:r>
        <w:t>(2) Für Fahrerinnen und Fahrer von Subunternehmern gelten ergänzend die Regelungen der Richtlinie „Sicherheitsanforderungen an Lieferanten, Dienstleister und Subunternehmer“.</w:t>
      </w:r>
    </w:p>
    <w:p>
      <w:pPr>
        <w:pStyle w:val="Heading1"/>
      </w:pPr>
      <w:r>
        <w:t>§ 13 Inkrafttreten</w:t>
      </w:r>
    </w:p>
    <w:p>
      <w:r>
        <w:t>Diese Richtlinie tritt am 01.07.2025 in Kraft und ersetzt Version 1.3.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</w:pPr>
    <w:r>
      <w:rPr>
        <w:sz w:val="16"/>
      </w:rPr>
      <w:t>NWL-ISMS-RL-004 | Version 1.4</w:t>
      <w:tab/>
      <w:t xml:space="preserve">Seite </w:t>
    </w:r>
    <w:fldSimple w:instr="PAGE">
      <w:r>
        <w:t>1</w:t>
      </w:r>
    </w:fldSimple>
    <w:r>
      <w:rPr>
        <w:sz w:val="16"/>
      </w:rPr>
      <w:t xml:space="preserve"> von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1" w:val="right"/>
      </w:tabs>
    </w:pPr>
    <w:r>
      <w:rPr>
        <w:color w:val="555555"/>
        <w:sz w:val="16"/>
      </w:rPr>
      <w:t>Nordwind Logistics GmbH – Richtlinie Zugriffsmanagement</w:t>
      <w:tab/>
      <w:t>INTERN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Richtlinie Zugriffsmanagement</dc:title>
  <dc:subject/>
  <dc:creator>Sabine Hofbauer</dc:creator>
  <cp:keywords/>
  <dc:description>generated by python-docx</dc:description>
  <cp:lastModifiedBy>Sabine Hofbauer</cp:lastModifiedBy>
  <cp:revision>1</cp:revision>
  <dcterms:created xsi:type="dcterms:W3CDTF">2013-12-23T23:15:00Z</dcterms:created>
  <dcterms:modified xsi:type="dcterms:W3CDTF">2013-12-23T23:15:00Z</dcterms:modified>
  <cp:category/>
</cp:coreProperties>
</file>