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13.svg" ContentType="image/svg"/>
  <Override PartName="/word/media/image11.svg" ContentType="image/svg"/>
  <Override PartName="/word/media/image2.svg" ContentType="image/svg"/>
  <Override PartName="/word/media/image4.svg" ContentType="image/svg"/>
  <Override PartName="/word/media/image6.svg" ContentType="image/svg"/>
  <Override PartName="/word/media/image15.svg" ContentType="image/svg"/>
  <Override PartName="/word/media/image8.svg" ContentType="image/sv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widowControl/>
        <w:suppressAutoHyphens w:val="true"/>
        <w:bidi w:val="0"/>
        <w:spacing w:before="480" w:after="240"/>
        <w:jc w:val="both"/>
        <w:rPr>
          <w:color w:val="auto"/>
        </w:rPr>
      </w:pPr>
      <w:r>
        <w:rPr>
          <w:color w:val="auto"/>
          <w:kern w:val="0"/>
          <w:lang w:val="en-US" w:eastAsia="en-US" w:bidi="ar-SA"/>
        </w:rPr>
        <w:t>Fused swept-segment subtraction for GPU milling simulation: making the carve write-bandwidth bound</w:t>
      </w:r>
    </w:p>
    <w:p>
      <w:pPr>
        <w:pStyle w:val="BodyText"/>
        <w:spacing w:before="480" w:after="240"/>
        <w:jc w:val="both"/>
        <w:rPr/>
      </w:pPr>
      <w:r>
        <w:rPr/>
        <w:t>Nicola Scuor¹*, Paolo Gallina¹, Philip Long², Stefano Seriani¹</w:t>
      </w:r>
    </w:p>
    <w:p>
      <w:pPr>
        <w:pStyle w:val="BodyText"/>
        <w:bidi w:val="0"/>
        <w:spacing w:before="480" w:after="240"/>
        <w:ind w:hanging="0" w:left="0" w:right="0"/>
        <w:jc w:val="both"/>
        <w:rPr/>
      </w:pPr>
      <w:r>
        <w:rPr/>
        <w:t xml:space="preserve">¹ </w:t>
      </w:r>
      <w:r>
        <w:rPr/>
        <w:t>Department of Engineering and Architecture, University of Trieste, Via Alfonso Valerio 6/1, 34127 Trieste, Italy</w:t>
      </w:r>
    </w:p>
    <w:p>
      <w:pPr>
        <w:pStyle w:val="BodyText"/>
        <w:bidi w:val="0"/>
        <w:spacing w:before="480" w:after="240"/>
        <w:ind w:hanging="0" w:left="0" w:right="0"/>
        <w:jc w:val="both"/>
        <w:rPr/>
      </w:pPr>
      <w:r>
        <w:rPr/>
        <w:t xml:space="preserve">² </w:t>
      </w:r>
      <w:r>
        <w:rPr/>
        <w:t>Department of Electronic, Software and Advanced Manufacturing Engineering, Atlantic Technological University, Galway, Ireland</w:t>
      </w:r>
    </w:p>
    <w:p>
      <w:pPr>
        <w:pStyle w:val="BodyText"/>
        <w:bidi w:val="0"/>
        <w:spacing w:before="480" w:after="240"/>
        <w:ind w:hanging="0" w:left="0" w:right="0"/>
        <w:jc w:val="both"/>
        <w:rPr/>
      </w:pPr>
      <w:r>
        <w:rPr/>
        <w:t xml:space="preserve">* Corresponding author: Nicola Scuor, </w:t>
      </w:r>
      <w:hyperlink r:id="rId2">
        <w:r>
          <w:rPr>
            <w:rStyle w:val="Hyperlink"/>
          </w:rPr>
          <w:t>nscuor@units.it</w:t>
        </w:r>
      </w:hyperlink>
    </w:p>
    <w:p>
      <w:pPr>
        <w:pStyle w:val="BodyText"/>
        <w:bidi w:val="0"/>
        <w:spacing w:before="480" w:after="240"/>
        <w:ind w:hanging="0" w:left="0" w:right="0"/>
        <w:jc w:val="both"/>
        <w:rPr/>
      </w:pPr>
      <w:r>
        <w:rPr/>
        <w:t>ORCID</w:t>
      </w:r>
    </w:p>
    <w:p>
      <w:pPr>
        <w:pStyle w:val="BodyText"/>
        <w:widowControl/>
        <w:suppressAutoHyphens w:val="true"/>
        <w:bidi w:val="0"/>
        <w:jc w:val="both"/>
        <w:rPr>
          <w:rFonts w:ascii="Arial" w:hAnsi="Arial" w:eastAsia="Arial" w:cs="" w:asciiTheme="minorHAnsi" w:cstheme="minorBidi" w:eastAsiaTheme="minorHAnsi" w:hAnsiTheme="minorHAnsi"/>
          <w:color w:val="auto"/>
          <w:kern w:val="0"/>
          <w:sz w:val="24"/>
          <w:szCs w:val="24"/>
          <w:lang w:val="en-US" w:eastAsia="en-US" w:bidi="ar-SA"/>
        </w:rPr>
      </w:pPr>
      <w:r>
        <w:rPr>
          <w:rFonts w:eastAsia="Arial" w:cs="" w:cstheme="minorBidi" w:eastAsiaTheme="minorHAnsi"/>
          <w:color w:val="auto"/>
          <w:kern w:val="0"/>
          <w:sz w:val="24"/>
          <w:szCs w:val="24"/>
          <w:lang w:val="en-US" w:eastAsia="en-US" w:bidi="ar-SA"/>
        </w:rPr>
        <w:t>Nicola Scuor: 0000-0002-5073-637X</w:t>
      </w:r>
    </w:p>
    <w:p>
      <w:pPr>
        <w:pStyle w:val="BodyText"/>
        <w:widowControl/>
        <w:suppressAutoHyphens w:val="true"/>
        <w:bidi w:val="0"/>
        <w:jc w:val="both"/>
        <w:rPr>
          <w:rFonts w:ascii="Arial" w:hAnsi="Arial" w:eastAsia="Arial" w:cs="" w:asciiTheme="minorHAnsi" w:cstheme="minorBidi" w:eastAsiaTheme="minorHAnsi" w:hAnsiTheme="minorHAnsi"/>
          <w:color w:val="auto"/>
          <w:kern w:val="0"/>
          <w:sz w:val="24"/>
          <w:szCs w:val="24"/>
          <w:lang w:val="en-US" w:eastAsia="en-US" w:bidi="ar-SA"/>
        </w:rPr>
      </w:pPr>
      <w:r>
        <w:rPr>
          <w:rFonts w:eastAsia="Arial" w:cs="" w:cstheme="minorBidi" w:eastAsiaTheme="minorHAnsi"/>
          <w:color w:val="auto"/>
          <w:kern w:val="0"/>
          <w:sz w:val="24"/>
          <w:szCs w:val="24"/>
          <w:lang w:val="en-US" w:eastAsia="en-US" w:bidi="ar-SA"/>
        </w:rPr>
        <w:t>Paolo Gallina: [</w:t>
      </w:r>
      <w:r>
        <w:rPr>
          <w:rFonts w:eastAsia="Arial" w:cs="" w:cstheme="minorBidi" w:eastAsiaTheme="minorHAnsi"/>
          <w:color w:val="auto"/>
          <w:kern w:val="0"/>
          <w:sz w:val="24"/>
          <w:szCs w:val="24"/>
          <w:shd w:fill="FFFF00" w:val="clear"/>
          <w:lang w:val="en-US" w:eastAsia="en-US" w:bidi="ar-SA"/>
        </w:rPr>
        <w:t>to be inserted</w:t>
      </w:r>
      <w:r>
        <w:rPr>
          <w:rFonts w:eastAsia="Arial" w:cs="" w:cstheme="minorBidi" w:eastAsiaTheme="minorHAnsi"/>
          <w:color w:val="auto"/>
          <w:kern w:val="0"/>
          <w:sz w:val="24"/>
          <w:szCs w:val="24"/>
          <w:lang w:val="en-US" w:eastAsia="en-US" w:bidi="ar-SA"/>
        </w:rPr>
        <w:t>]</w:t>
      </w:r>
    </w:p>
    <w:p>
      <w:pPr>
        <w:pStyle w:val="BodyText"/>
        <w:widowControl/>
        <w:suppressAutoHyphens w:val="true"/>
        <w:bidi w:val="0"/>
        <w:jc w:val="both"/>
        <w:rPr>
          <w:rFonts w:ascii="Arial" w:hAnsi="Arial" w:eastAsia="Arial" w:cs="" w:asciiTheme="minorHAnsi" w:cstheme="minorBidi" w:eastAsiaTheme="minorHAnsi" w:hAnsiTheme="minorHAnsi"/>
          <w:color w:val="auto"/>
          <w:kern w:val="0"/>
          <w:sz w:val="24"/>
          <w:szCs w:val="24"/>
          <w:lang w:val="en-US" w:eastAsia="en-US" w:bidi="ar-SA"/>
        </w:rPr>
      </w:pPr>
      <w:r>
        <w:rPr>
          <w:rFonts w:eastAsia="Arial" w:cs="" w:cstheme="minorBidi" w:eastAsiaTheme="minorHAnsi"/>
          <w:color w:val="auto"/>
          <w:kern w:val="0"/>
          <w:sz w:val="24"/>
          <w:szCs w:val="24"/>
          <w:lang w:val="en-US" w:eastAsia="en-US" w:bidi="ar-SA"/>
        </w:rPr>
        <w:t>Philip Long: 0000-0002-0784-8720</w:t>
      </w:r>
    </w:p>
    <w:p>
      <w:pPr>
        <w:pStyle w:val="BodyText"/>
        <w:widowControl/>
        <w:suppressAutoHyphens w:val="true"/>
        <w:bidi w:val="0"/>
        <w:jc w:val="both"/>
        <w:rPr>
          <w:rFonts w:ascii="Arial" w:hAnsi="Arial" w:eastAsia="Arial" w:cs="" w:asciiTheme="minorHAnsi" w:cstheme="minorBidi" w:eastAsiaTheme="minorHAnsi" w:hAnsiTheme="minorHAnsi"/>
          <w:color w:val="auto"/>
          <w:kern w:val="0"/>
          <w:sz w:val="24"/>
          <w:szCs w:val="24"/>
          <w:lang w:val="en-US" w:eastAsia="en-US" w:bidi="ar-SA"/>
        </w:rPr>
      </w:pPr>
      <w:r>
        <w:rPr>
          <w:rFonts w:eastAsia="Arial" w:cs="" w:cstheme="minorBidi" w:eastAsiaTheme="minorHAnsi"/>
          <w:color w:val="auto"/>
          <w:kern w:val="0"/>
          <w:sz w:val="24"/>
          <w:szCs w:val="24"/>
          <w:lang w:val="en-US" w:eastAsia="en-US" w:bidi="ar-SA"/>
        </w:rPr>
        <w:t>Stefano Seriani: 0000-0002-5563-9595</w:t>
      </w:r>
    </w:p>
    <w:p>
      <w:pPr>
        <w:pStyle w:val="BodyText"/>
        <w:widowControl/>
        <w:suppressAutoHyphens w:val="true"/>
        <w:bidi w:val="0"/>
        <w:jc w:val="both"/>
        <w:rPr>
          <w:rFonts w:ascii="Arial" w:hAnsi="Arial" w:eastAsia="Arial" w:cs="" w:asciiTheme="minorHAnsi" w:cstheme="minorBidi" w:eastAsiaTheme="minorHAnsi" w:hAnsiTheme="minorHAnsi"/>
          <w:color w:val="auto"/>
          <w:kern w:val="0"/>
          <w:sz w:val="24"/>
          <w:szCs w:val="24"/>
          <w:lang w:val="en-US" w:eastAsia="en-US" w:bidi="ar-SA"/>
        </w:rPr>
      </w:pPr>
      <w:r>
        <w:rPr>
          <w:rFonts w:eastAsia="Arial" w:cs="" w:cstheme="minorBidi" w:eastAsiaTheme="minorHAnsi"/>
          <w:color w:val="auto"/>
          <w:kern w:val="0"/>
          <w:sz w:val="24"/>
          <w:szCs w:val="24"/>
          <w:lang w:val="en-US" w:eastAsia="en-US" w:bidi="ar-SA"/>
        </w:rPr>
      </w:r>
    </w:p>
    <w:p>
      <w:pPr>
        <w:pStyle w:val="Heading2"/>
        <w:jc w:val="both"/>
        <w:rPr>
          <w:color w:val="auto"/>
        </w:rPr>
      </w:pPr>
      <w:bookmarkStart w:id="0" w:name="abstract"/>
      <w:r>
        <w:rPr>
          <w:color w:val="auto"/>
        </w:rPr>
        <w:t>Abstract</w:t>
      </w:r>
    </w:p>
    <w:p>
      <w:pPr>
        <w:pStyle w:val="BodyText"/>
        <w:jc w:val="both"/>
        <w:rPr/>
      </w:pPr>
      <w:r>
        <w:rPr/>
        <w:t>Public computer-numerical-control toolpath data is scarce because it is proprietary, so training a model to generate milling toolpaths means synthesizing it: emitting candidate G-code and simulating it to find out what it actually cuts. Inside a search over candidates that simulator may run millions of times, so its throughput bounds the scale of experiment that can be attempted at all, while its accuracy is a floor to hold rather than a quantity to optimize. This paper reports one component of autocam, our framework for learning to generate toolpaths: the forward model the rest of it depends on. We present a 3-axis milling simulator on graphics processing unit compute shaders, built on a single-axis dexel field, a grid of columns storing sorted height transitions in which Boolean subtraction becomes an independent per-column merge. Against two established baselines, per-step stamping and swept-volume subtraction through a separate buffer, we contribute two optimizations. Fused swept-segment subtraction computes each segment's swept extent on the fly as a per-column envelope and subtracts it in place, never materializing the swept volume; it is 1.85 times faster than the external-buffer baseline and halves resident memory. Tube pruning skips the write-back for dispatched columns the tool never touches, giving 3.2 to 7.4 times on diagonal and air-heavy programs, at up to 8% cost on dense axis-aligned rasters. Two negative results and one positive one support a single diagnosis: the levers that pay remove memory-write traffic, not arithmetic or launched threads. All levels are byte-identical, and exact against an analytic reference on axis-aligned moves.</w:t>
      </w:r>
    </w:p>
    <w:p>
      <w:pPr>
        <w:pStyle w:val="BodyText"/>
        <w:jc w:val="both"/>
        <w:rPr/>
      </w:pPr>
      <w:r>
        <w:rPr/>
      </w:r>
    </w:p>
    <w:p>
      <w:pPr>
        <w:pStyle w:val="BodyText"/>
        <w:jc w:val="both"/>
        <w:rPr/>
      </w:pPr>
      <w:r>
        <w:rPr>
          <w:b/>
          <w:bCs/>
        </w:rPr>
        <w:t>Keywords:</w:t>
      </w:r>
      <w:r>
        <w:rPr/>
        <w:t xml:space="preserve"> </w:t>
      </w:r>
      <w:bookmarkEnd w:id="0"/>
      <w:r>
        <w:rPr/>
        <w:t xml:space="preserve">NC machining simulation, Toolpath, Dexel model, Swept volume, Compute shaders </w:t>
      </w:r>
    </w:p>
    <w:p>
      <w:pPr>
        <w:pStyle w:val="BodyText"/>
        <w:jc w:val="both"/>
        <w:rPr/>
      </w:pPr>
      <w:r>
        <w:rPr/>
      </w:r>
    </w:p>
    <w:p>
      <w:pPr>
        <w:pStyle w:val="Heading2"/>
        <w:jc w:val="both"/>
        <w:rPr>
          <w:color w:val="auto"/>
        </w:rPr>
      </w:pPr>
      <w:bookmarkStart w:id="1" w:name="introduction"/>
      <w:r>
        <w:rPr>
          <w:color w:val="auto"/>
        </w:rPr>
        <w:t>1. Introduction</w:t>
      </w:r>
    </w:p>
    <w:p>
      <w:pPr>
        <w:pStyle w:val="Heading3"/>
        <w:jc w:val="both"/>
        <w:rPr>
          <w:color w:val="auto"/>
        </w:rPr>
      </w:pPr>
      <w:bookmarkStart w:id="2" w:name="motivation"/>
      <w:r>
        <w:rPr>
          <w:color w:val="auto"/>
        </w:rPr>
        <w:t>1.1 Motivation</w:t>
      </w:r>
    </w:p>
    <w:p>
      <w:pPr>
        <w:pStyle w:val="FirstParagraph"/>
        <w:jc w:val="both"/>
        <w:rPr/>
      </w:pPr>
      <w:r>
        <w:rPr/>
        <w:t>Public CNC toolpath data is scarce because it is proprietary. Our long-term goal is to synthesize training data for a learned toolpath generator: given a target part, a stock block, and a cutting tool, produce the G-code that machines the part. Learning this mapping requires many G-code-to-machined-geometry pairs, which in turn demand a fast and accurate forward model: a simulator that, given a toolpath, tool, and stock, computes the resulting workpiece.</w:t>
      </w:r>
    </w:p>
    <w:p>
      <w:pPr>
        <w:pStyle w:val="BodyText"/>
        <w:jc w:val="both"/>
        <w:rPr/>
      </w:pPr>
      <w:r>
        <w:rPr/>
        <w:t xml:space="preserve">This forward model sits inside an optimization loop (e.g., a genetic algorithm that searches over toolpaths and scores each candidate against the target); it may therefore be evaluated millions of times per optimization run. Raw simulation speed at fixed accuracy is thus the central engineering requirement, not merely one of many, and the primary driver of our design choices; the model's geometric error against the continuously-swept cut is zero on axis-aligned moves and 0.08 % on diagonals, measured against an analytic reference in §4.6, so accuracy here is a constraint to hold, not the quantity we optimize. </w:t>
      </w:r>
      <w:bookmarkEnd w:id="2"/>
      <w:r>
        <w:rPr/>
        <w:t>We restrict our scope to 3-axis milling (tool translation only, with the tool axis fixed to Z) and to programs made of linear moves, G00 and G01. Circular interpolation is not handled directly; in practice a controller or post-processor renders arcs as polylines, and each resulting segment is what the method takes as input.</w:t>
      </w:r>
    </w:p>
    <w:p>
      <w:pPr>
        <w:pStyle w:val="Heading3"/>
        <w:jc w:val="both"/>
        <w:rPr>
          <w:color w:val="auto"/>
        </w:rPr>
      </w:pPr>
      <w:bookmarkStart w:id="3" w:name="related-work"/>
      <w:r>
        <w:rPr>
          <w:color w:val="auto"/>
        </w:rPr>
        <w:t>1.2 Related work</w:t>
      </w:r>
    </w:p>
    <w:p>
      <w:pPr>
        <w:pStyle w:val="FirstParagraph"/>
        <w:jc w:val="both"/>
        <w:rPr/>
      </w:pPr>
      <w:r>
        <w:rPr/>
        <w:t>Column-based material-removal simulation begins with the dexel model [1], which renders NC milling in real time as an image-space Boolean subtraction: the workpiece is a grid of Z-direction “depth elements” (dexels), and the tool lowers their heights. The model was extended to multi-/tri-dexel representations (three orthogonal dexel bundles) to improve sampling on steep walls: [2] present online sculpting on multi-dexel volumes, and GPU variants were developed [3, 4]. In parallel, the solid-modeling community proposed sparse, per-axis implicit representations with GPU Booleans, notably Layered Depth-Normal Images, LDNI [5]. Swept-volume computation has its own line, from the sweep-envelope differential equation [6] to the survey [7]. Surface reconstruction uses Marching Cubes [8], and its corresponding GPU version [9].</w:t>
      </w:r>
    </w:p>
    <w:p>
      <w:pPr>
        <w:pStyle w:val="BodyText"/>
        <w:jc w:val="both"/>
        <w:rPr/>
      </w:pPr>
      <w:bookmarkEnd w:id="3"/>
      <w:r>
        <w:rPr/>
        <w:t>Two observations frame what follows. First, subtracting a tool's swept volume per move from a dexel model is not new; it is exactly what [2, 3, 4] do, and we treat it as a baseline rather than a contribution. Second, that line of work optimizes the geometry of the subtraction, while the cost we measure is dominated by the traffic to the working-set buffer, a resource none of it addresses. Our contribution is therefore not a new representation but a different target.</w:t>
      </w:r>
    </w:p>
    <w:p>
      <w:pPr>
        <w:pStyle w:val="Heading3"/>
        <w:jc w:val="both"/>
        <w:rPr>
          <w:color w:val="auto"/>
        </w:rPr>
      </w:pPr>
      <w:bookmarkStart w:id="4" w:name="contributions"/>
      <w:r>
        <w:rPr>
          <w:color w:val="auto"/>
        </w:rPr>
        <w:t>1.3 Contributions</w:t>
      </w:r>
    </w:p>
    <w:p>
      <w:pPr>
        <w:pStyle w:val="BodyText"/>
        <w:jc w:val="both"/>
        <w:rPr/>
      </w:pPr>
      <w:r>
        <w:rPr/>
        <w:t>We present two optimizations, both implemented entirely on the GPU and each isolated by A/B comparison against the best available baseline from the literature. We label the four levels S0 to S3 throughout: per-step stamping (S0), swept subtraction through an external buffer (S1), the fused in-place swept kernel (S2), and the fused kernel with tube pruning (S3); the first two are the established baselines and the last two are this work, and §6.1 anchors each to the literature it represents. Each of ours is byte-identical to the swept baseline it builds on, S0 being a timing and behavioural reference rather than a geometric ground truth (§4.6).</w:t>
      </w:r>
    </w:p>
    <w:p>
      <w:pPr>
        <w:pStyle w:val="BodyText"/>
        <w:jc w:val="both"/>
        <w:rPr/>
      </w:pPr>
      <w:r>
        <w:rPr>
          <w:b/>
          <w:bCs/>
        </w:rPr>
        <w:t>Contribution 1: Fused swept-segment subtraction.</w:t>
      </w:r>
      <w:r>
        <w:rPr/>
        <w:t xml:space="preserve"> For each linear toolpath segment, the swept-tool column is computed on the fly as a Z-envelope and subtracted in place, never materializing the swept volume. Because columns are independent, the operation maps directly to one GPU thread per column. Compared to an external-buffer swept baseline (which writes the swept volume to a separate buffer and subtracts it in a second pass), fusion is ≈1.2–2.5× faster (geomean ≈1.85×) and halves resident memory: the external buffer requires a full-size twin of the working set that the fused kernel eliminates (§6.1, §6.3). This is a consistent win across all workloads.</w:t>
      </w:r>
    </w:p>
    <w:p>
      <w:pPr>
        <w:pStyle w:val="BodyText"/>
        <w:jc w:val="both"/>
        <w:rPr/>
      </w:pPr>
      <w:r>
        <w:rPr>
          <w:b/>
          <w:bCs/>
        </w:rPr>
        <w:t>Contribution 2: Tube pruning with in-air skip.</w:t>
      </w:r>
      <w:r>
        <w:rPr/>
        <w:t xml:space="preserve"> The GPU dispatch covers the axis-aligned bounding box of each segment's endpoints, which on diagonal moves and in-air rapids is far larger than the actual swept band. We skip the per-column write-back for columns the tool never touches, leaving them untouched and the result byte-identical. Tube pruning delivers 3.2–7.4× on the stress benchmarks (Table 1), while staying neutral-to-modest-cost on axis-aligned programs (at most ≈8 % on the densest raster, where the dispatch already matches the swept band, §6).</w:t>
      </w:r>
    </w:p>
    <w:p>
      <w:pPr>
        <w:pStyle w:val="BodyText"/>
        <w:jc w:val="both"/>
        <w:rPr/>
      </w:pPr>
      <w:r>
        <w:rPr/>
        <w:t xml:space="preserve">Beyond these two main contributions, we introduce three additional refinements that improve specific aspects of the pipeline. First, we perform GPU-side result compaction, which reduces read-back traffic by approximately an order of magnitude by returning only the compact transition lists rather than the full unpacked buffer (§3.5). Second, we implement a sparse tiled backend that materializes only the tiles actually touched during carving. This is a memory/scale lever rather than a speed optimization: for localized programs, it shrinks the resident footprint to a small fraction of the full buffer; for whole-stock machining, however, it offers no saving. The backend is runtime-selectable and byte-identical to the flat buffer version (§6.2). Third, we eliminate the dead trailing zero-fill of each column’s write-back: byte-identical, it removes write traffic on the </w:t>
      </w:r>
      <w:r>
        <w:rPr>
          <w:i w:val="false"/>
          <w:iCs w:val="false"/>
        </w:rPr>
        <w:t>active</w:t>
      </w:r>
      <w:r>
        <w:rPr/>
        <w:t xml:space="preserve"> columns for 8–22% on the fused kernel, reaching the axis-aligned case where tube pruning does not (§6.4).</w:t>
      </w:r>
    </w:p>
    <w:p>
      <w:pPr>
        <w:pStyle w:val="BodyText"/>
        <w:jc w:val="both"/>
        <w:rPr/>
      </w:pPr>
      <w:r>
        <w:rPr/>
        <w:t>We also report two attempted optimizations that we implemented in full and then discarded because they did not pay off. The first was a range-query envelope acceleration: we precomputed per-tool directional Z-envelopes as sparse tables, turning the per-column envelope computation from an O(sub-steps) loop into an O(1) query. This gave only modest improvement, because it optimized compute, which is not the bottleneck, and was reverted. The second was an oriented tiled dispatch: we attempted to tile the launch along the swept band itself, so that off-band threads would not even be launched. This required barriers between tiles to preserve byte-identity, and the resulting synchronization overhead, together with overlapping joins between adjacent tiles, made the approach slower than tube pruning alone. We reverted it as well. Together, these negative results corroborate our central diagnosis: on this pipeline, the lever that pays is the one that removes memory-write traffic, not the ones that reduce compute or launched threads (§7).</w:t>
      </w:r>
      <w:bookmarkEnd w:id="1"/>
      <w:bookmarkEnd w:id="4"/>
    </w:p>
    <w:p>
      <w:pPr>
        <w:pStyle w:val="Heading2"/>
        <w:jc w:val="both"/>
        <w:rPr/>
      </w:pPr>
      <w:r>
        <w:rPr>
          <w:color w:val="auto"/>
        </w:rPr>
        <w:t xml:space="preserve">2. </w:t>
      </w:r>
      <w:bookmarkStart w:id="5" w:name="X7e7e87ad7b580d05ccf128ff9d32a7a65c98d1b"/>
      <w:r>
        <w:rPr>
          <w:color w:val="auto"/>
        </w:rPr>
        <w:t>Volume representation: single-axis dexel field</w:t>
      </w:r>
    </w:p>
    <w:p>
      <w:pPr>
        <w:pStyle w:val="FirstParagraph"/>
        <w:jc w:val="both"/>
        <w:rPr/>
      </w:pPr>
      <w:r>
        <w:rPr/>
        <w:t>Both the stock and the tool are discretised on a common voxel lattice of W × H × D cells, but that lattice is never materialised: it only fixes the sampling resolution and the integer coordinates in which every quantity is expressed. What is actually stored is a single-axis dexel field along Z. Each (x, y) column of the lattice is a one-dimensional occupancy function of z, encoded as the sorted list of the heights at which occupancy flips: empty to solid or solid to empty. Because occupancy alternates, transitions come in pairs, one entering and one leaving the solid (Fig. 1).</w:t>
      </w:r>
    </w:p>
    <w:p>
      <w:pPr>
        <w:pStyle w:val="BodyText"/>
        <w:jc w:val="both"/>
        <w:rPr/>
      </w:pPr>
      <w:r>
        <w:rPr/>
        <w:t xml:space="preserve">Milling parts are massive bodies bounded by a few surfaces, so a column crosses the boundary only a handful of times: two to four transitions is typical, and two is the minimum, since transitions come in pairs. An uncarved column of a prismatic stock is exactly that minimum, the single pair [0, </w:t>
      </w:r>
      <w:r>
        <w:rPr>
          <w:rFonts w:ascii="Liberation Mono" w:hAnsi="Liberation Mono"/>
        </w:rPr>
        <w:t>z_top</w:t>
      </w:r>
      <w:r>
        <w:rPr/>
        <w:t xml:space="preserve">], where </w:t>
      </w:r>
      <w:r>
        <w:rPr>
          <w:rFonts w:ascii="Liberation Mono" w:hAnsi="Liberation Mono"/>
        </w:rPr>
        <w:t>z_top</w:t>
      </w:r>
      <w:r>
        <w:rPr/>
        <w:t xml:space="preserve"> is the height of the stock's top face: solid from the base up to that face, empty above. For a stock that fills the lattice, </w:t>
      </w:r>
      <w:r>
        <w:rPr>
          <w:rFonts w:ascii="Liberation Mono" w:hAnsi="Liberation Mono"/>
        </w:rPr>
        <w:t>z_top</w:t>
      </w:r>
      <w:r>
        <w:rPr/>
        <w:t xml:space="preserve"> coincides with the grid depth </w:t>
      </w:r>
      <w:r>
        <w:rPr>
          <w:rFonts w:ascii="Liberation Mono" w:hAnsi="Liberation Mono"/>
        </w:rPr>
        <w:t>z1</w:t>
      </w:r>
      <w:r>
        <w:rPr/>
        <w:t xml:space="preserve"> used as the clamping bound in §3.6 and §4.4.</w:t>
      </w:r>
    </w:p>
    <w:p>
      <w:pPr>
        <w:pStyle w:val="CaptionedFigure"/>
        <w:rPr/>
      </w:pPr>
      <w:r>
        <w:drawing>
          <wp:anchor distT="182880" distB="182880" distL="0" distR="0" simplePos="0" relativeHeight="6" behindDoc="0" locked="0" layoutInCell="0" allowOverlap="1">
            <wp:simplePos x="0" y="0"/>
            <wp:positionH relativeFrom="column">
              <wp:align>center</wp:align>
            </wp:positionH>
            <wp:positionV relativeFrom="paragraph">
              <wp:align>top</wp:align>
            </wp:positionV>
            <wp:extent cx="5731510" cy="2413000"/>
            <wp:effectExtent l="0" t="0" r="0" b="0"/>
            <wp:wrapTopAndBottom/>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731510" cy="2413000"/>
                    </a:xfrm>
                    <a:prstGeom prst="rect">
                      <a:avLst/>
                    </a:prstGeom>
                    <a:noFill/>
                  </pic:spPr>
                </pic:pic>
              </a:graphicData>
            </a:graphic>
          </wp:anchor>
        </w:drawing>
      </w:r>
      <w:r>
        <w:rPr>
          <w:b/>
          <w:bCs/>
        </w:rPr>
        <w:t>Fig. 1</w:t>
      </w:r>
      <w:r>
        <w:rPr/>
        <w:t xml:space="preserve"> </w:t>
      </w:r>
      <w:r>
        <w:rPr>
          <w:i w:val="false"/>
          <w:iCs w:val="false"/>
        </w:rPr>
        <w:t>The single-axis dexel (Z-transition column) representation. A column stores the sorted heights at which occupancy flips; two flat arrays encode the whole object, and occupancy at any voxel is recovered by a parity walk. Storage scales with the complexity of the boundary rather than with the enclosed volume, and any Boolean operation becomes a merge of sorted lists, independent per column</w:t>
      </w:r>
    </w:p>
    <w:p>
      <w:pPr>
        <w:pStyle w:val="BodyText"/>
        <w:jc w:val="both"/>
        <w:rPr/>
      </w:pPr>
      <w:r>
        <w:rPr/>
        <w:t xml:space="preserve">The whole object is a </w:t>
      </w:r>
      <w:r>
        <w:rPr>
          <w:rFonts w:eastAsia="Arial" w:cs="" w:ascii="Liberation Mono" w:hAnsi="Liberation Mono" w:cstheme="minorBidi" w:eastAsiaTheme="minorHAnsi"/>
          <w:color w:val="auto"/>
          <w:kern w:val="0"/>
          <w:sz w:val="24"/>
          <w:szCs w:val="24"/>
          <w:lang w:val="en-US" w:eastAsia="en-US" w:bidi="ar-SA"/>
        </w:rPr>
        <w:t>struct VoxelObject</w:t>
      </w:r>
      <w:r>
        <w:rPr/>
        <w:t>, used for both stock and tool, consisting of two flat arrays. Columns are addressed by the linear index i=x+y*W, i.e. row-major with X varying fastest, and both arrays follow that order:</w:t>
      </w:r>
    </w:p>
    <w:p>
      <w:pPr>
        <w:pStyle w:val="BodyText"/>
        <w:widowControl/>
        <w:numPr>
          <w:ilvl w:val="0"/>
          <w:numId w:val="2"/>
        </w:numPr>
        <w:suppressAutoHyphens w:val="true"/>
        <w:bidi w:val="0"/>
        <w:jc w:val="both"/>
        <w:rPr>
          <w:rFonts w:ascii="Arial" w:hAnsi="Arial" w:eastAsia="Arial" w:cs="" w:asciiTheme="minorHAnsi" w:cstheme="minorBidi" w:eastAsiaTheme="minorHAnsi" w:hAnsiTheme="minorHAnsi"/>
          <w:color w:val="auto"/>
          <w:kern w:val="0"/>
          <w:sz w:val="24"/>
          <w:szCs w:val="24"/>
          <w:lang w:val="en-US" w:eastAsia="en-US" w:bidi="ar-SA"/>
        </w:rPr>
      </w:pPr>
      <w:r>
        <w:rPr>
          <w:rFonts w:eastAsia="Arial" w:cs="" w:ascii="Liberation Mono" w:hAnsi="Liberation Mono" w:cstheme="minorBidi" w:eastAsiaTheme="minorHAnsi"/>
          <w:color w:val="auto"/>
          <w:kern w:val="0"/>
          <w:sz w:val="24"/>
          <w:szCs w:val="24"/>
          <w:lang w:val="en-US" w:eastAsia="en-US" w:bidi="ar-SA"/>
        </w:rPr>
        <w:t>compressedData</w:t>
      </w:r>
      <w:r>
        <w:rPr>
          <w:rFonts w:eastAsia="Arial" w:cs="" w:cstheme="minorBidi" w:eastAsiaTheme="minorHAnsi"/>
          <w:color w:val="auto"/>
          <w:kern w:val="0"/>
          <w:sz w:val="24"/>
          <w:szCs w:val="24"/>
          <w:lang w:val="en-US" w:eastAsia="en-US" w:bidi="ar-SA"/>
        </w:rPr>
        <w:t>: the transition lists of all columns, each sorted ascending, concatenated in order of i.</w:t>
      </w:r>
    </w:p>
    <w:p>
      <w:pPr>
        <w:pStyle w:val="BodyText"/>
        <w:widowControl/>
        <w:numPr>
          <w:ilvl w:val="0"/>
          <w:numId w:val="2"/>
        </w:numPr>
        <w:suppressAutoHyphens w:val="true"/>
        <w:bidi w:val="0"/>
        <w:jc w:val="both"/>
        <w:rPr/>
      </w:pPr>
      <w:r>
        <w:rPr>
          <w:rFonts w:eastAsia="Arial" w:cs="" w:ascii="Liberation Mono" w:hAnsi="Liberation Mono" w:cstheme="minorBidi" w:eastAsiaTheme="minorHAnsi"/>
          <w:color w:val="auto"/>
          <w:kern w:val="0"/>
          <w:sz w:val="24"/>
          <w:szCs w:val="24"/>
          <w:lang w:val="en-US" w:eastAsia="en-US" w:bidi="ar-SA"/>
        </w:rPr>
        <w:t>prefixSumData</w:t>
      </w:r>
      <w:r>
        <w:rPr>
          <w:rFonts w:eastAsia="Arial" w:cs="" w:cstheme="minorBidi" w:eastAsiaTheme="minorHAnsi"/>
          <w:color w:val="auto"/>
          <w:kern w:val="0"/>
          <w:sz w:val="24"/>
          <w:szCs w:val="24"/>
          <w:lang w:val="en-US" w:eastAsia="en-US" w:bidi="ar-SA"/>
        </w:rPr>
        <w:t xml:space="preserve">: for each column i, the offset at which its list begins in compressedData. The array has one entry per column, so the length of column i’s list is </w:t>
      </w:r>
      <w:r>
        <w:rPr>
          <w:rFonts w:eastAsia="Arial" w:cs="" w:ascii="Liberation Mono" w:hAnsi="Liberation Mono" w:cstheme="minorBidi" w:eastAsiaTheme="minorHAnsi"/>
          <w:color w:val="auto"/>
          <w:kern w:val="0"/>
          <w:sz w:val="24"/>
          <w:szCs w:val="24"/>
          <w:lang w:val="en-US" w:eastAsia="en-US" w:bidi="ar-SA"/>
        </w:rPr>
        <w:t>prefixSumData</w:t>
      </w:r>
      <w:r>
        <w:rPr>
          <w:rFonts w:eastAsia="Arial" w:cs="" w:cstheme="minorBidi" w:eastAsiaTheme="minorHAnsi"/>
          <w:color w:val="auto"/>
          <w:kern w:val="0"/>
          <w:sz w:val="24"/>
          <w:szCs w:val="24"/>
          <w:lang w:val="en-US" w:eastAsia="en-US" w:bidi="ar-SA"/>
        </w:rPr>
        <w:t xml:space="preserve">[i+1] − </w:t>
      </w:r>
      <w:r>
        <w:rPr>
          <w:rFonts w:eastAsia="Arial" w:cs="" w:ascii="Liberation Mono" w:hAnsi="Liberation Mono" w:cstheme="minorBidi" w:eastAsiaTheme="minorHAnsi"/>
          <w:color w:val="auto"/>
          <w:kern w:val="0"/>
          <w:sz w:val="24"/>
          <w:szCs w:val="24"/>
          <w:lang w:val="en-US" w:eastAsia="en-US" w:bidi="ar-SA"/>
        </w:rPr>
        <w:t>prefixSumData</w:t>
      </w:r>
      <w:r>
        <w:rPr>
          <w:rFonts w:eastAsia="Arial" w:cs="" w:cstheme="minorBidi" w:eastAsiaTheme="minorHAnsi"/>
          <w:color w:val="auto"/>
          <w:kern w:val="0"/>
          <w:sz w:val="24"/>
          <w:szCs w:val="24"/>
          <w:lang w:val="en-US" w:eastAsia="en-US" w:bidi="ar-SA"/>
        </w:rPr>
        <w:t xml:space="preserve">[i], with the last column running to the end of </w:t>
      </w:r>
      <w:r>
        <w:rPr>
          <w:rFonts w:eastAsia="Arial" w:cs="" w:ascii="Liberation Mono" w:hAnsi="Liberation Mono" w:cstheme="minorBidi" w:eastAsiaTheme="minorHAnsi"/>
          <w:color w:val="auto"/>
          <w:kern w:val="0"/>
          <w:sz w:val="24"/>
          <w:szCs w:val="24"/>
          <w:lang w:val="en-US" w:eastAsia="en-US" w:bidi="ar-SA"/>
        </w:rPr>
        <w:t>compressedData</w:t>
      </w:r>
      <w:r>
        <w:rPr>
          <w:rFonts w:eastAsia="Arial" w:cs="" w:cstheme="minorBidi" w:eastAsiaTheme="minorHAnsi"/>
          <w:color w:val="auto"/>
          <w:kern w:val="0"/>
          <w:sz w:val="24"/>
          <w:szCs w:val="24"/>
          <w:lang w:val="en-US" w:eastAsia="en-US" w:bidi="ar-SA"/>
        </w:rPr>
        <w:t>. During a carving session the resident stock keeps its per-column counts in a separate array instead (§4.2).</w:t>
      </w:r>
    </w:p>
    <w:p>
      <w:pPr>
        <w:pStyle w:val="FirstParagraph"/>
        <w:jc w:val="both"/>
        <w:rPr/>
      </w:pPr>
      <w:r>
        <w:rPr/>
        <w:t>The name is historical: the struct stores transitions, not voxels.</w:t>
      </w:r>
    </w:p>
    <w:p>
      <w:pPr>
        <w:pStyle w:val="BodyText"/>
        <w:jc w:val="both"/>
        <w:rPr/>
      </w:pPr>
      <w:r>
        <w:rPr/>
        <w:t>Occupancy at (x, y, z) is recovered by a parity walk: the voxel is solid iff the number of transitions of its column that are ≤ z is odd. No dense buffer is ever allocated, read or written.</w:t>
      </w:r>
    </w:p>
    <w:p>
      <w:pPr>
        <w:pStyle w:val="BodyText"/>
        <w:jc w:val="both"/>
        <w:rPr/>
      </w:pPr>
      <w:r>
        <w:rPr/>
        <w:t>Three properties are exploited throughout.</w:t>
      </w:r>
    </w:p>
    <w:p>
      <w:pPr>
        <w:pStyle w:val="Compact"/>
        <w:numPr>
          <w:ilvl w:val="0"/>
          <w:numId w:val="15"/>
        </w:numPr>
        <w:jc w:val="both"/>
        <w:rPr>
          <w:b w:val="false"/>
          <w:bCs w:val="false"/>
        </w:rPr>
      </w:pPr>
      <w:r>
        <w:rPr>
          <w:b w:val="false"/>
          <w:bCs w:val="false"/>
        </w:rPr>
        <w:t xml:space="preserve">Compactness: storage is proportional to the number of transitions, that is, to how often the columns cross the boundary, and not to the enclosed volume. A field averaging c transitions per column costs c*W*H integers where a dense grid would cost W*H*D occupancy values, a saving of a factor D/c. For c ≈ 2 </w:t>
      </w:r>
      <w:r>
        <w:rPr>
          <w:b w:val="false"/>
          <w:bCs w:val="false"/>
        </w:rPr>
        <w:t xml:space="preserve">to </w:t>
      </w:r>
      <w:r>
        <w:rPr>
          <w:b w:val="false"/>
          <w:bCs w:val="false"/>
        </w:rPr>
        <w:t>4 and the depths typical of a milling stock this is two to three orders of magnitude, and it does not grow as the part becomes more massive, only as its surface becomes more intricate (absolute figures for the reference stock of §5.2 are given in §6.3).</w:t>
      </w:r>
    </w:p>
    <w:p>
      <w:pPr>
        <w:pStyle w:val="Compact"/>
        <w:numPr>
          <w:ilvl w:val="0"/>
          <w:numId w:val="6"/>
        </w:numPr>
        <w:jc w:val="both"/>
        <w:rPr>
          <w:b w:val="false"/>
          <w:bCs w:val="false"/>
        </w:rPr>
      </w:pPr>
      <w:r>
        <w:rPr>
          <w:b w:val="false"/>
          <w:bCs w:val="false"/>
        </w:rPr>
        <w:t>Boolean = per-column merge. Any Boolean between two fields on the same lattice is a two-pointer merge of their sorted transition lists, performed independently for each of the W*H columns: the traversal is the same in every case, only the predicate on the two occupancy states differs (AND for intersection, OR for union, AND-NOT for difference), and a transition is emitted wherever the predicate changes value. The carver uses difference alone (subtracting the tool from the stock) and it is the only operation implemented on the GPU (§4.4). Columns never interact, so the merge is embarrassingly parallel and maps to one GPU thread per column (§4.1).</w:t>
      </w:r>
    </w:p>
    <w:p>
      <w:pPr>
        <w:pStyle w:val="Compact"/>
        <w:numPr>
          <w:ilvl w:val="0"/>
          <w:numId w:val="6"/>
        </w:numPr>
        <w:jc w:val="both"/>
        <w:rPr/>
      </w:pPr>
      <w:r>
        <w:rPr>
          <w:b w:val="false"/>
          <w:bCs w:val="false"/>
        </w:rPr>
        <w:t xml:space="preserve">A free bounding interval. The lowest and highest transitions of a column are exactly its solid extent [bottom, top], available without a search. For tools whose columns are a single Z-interval (§4.5) </w:t>
      </w:r>
      <w:r>
        <w:rPr/>
        <w:t>that interval is not a bound on the column: it is the column;</w:t>
      </w:r>
      <w:r>
        <w:rPr>
          <w:b w:val="false"/>
          <w:bCs w:val="false"/>
        </w:rPr>
        <w:t xml:space="preserve"> this makes the on-the-fly Z-envelope of §3.3 possible.</w:t>
      </w:r>
      <w:bookmarkEnd w:id="5"/>
    </w:p>
    <w:p>
      <w:pPr>
        <w:pStyle w:val="Heading2"/>
        <w:jc w:val="both"/>
        <w:rPr/>
      </w:pPr>
      <w:r>
        <w:rPr>
          <w:color w:val="auto"/>
        </w:rPr>
        <w:t xml:space="preserve">3. </w:t>
      </w:r>
      <w:bookmarkStart w:id="6" w:name="Xc15cc9e09f72f3fb6d235b1c39d5879102bb73e"/>
      <w:r>
        <w:rPr>
          <w:color w:val="auto"/>
        </w:rPr>
        <w:t>From naive stamping to the final solution</w:t>
      </w:r>
    </w:p>
    <w:p>
      <w:pPr>
        <w:pStyle w:val="BodyText"/>
        <w:jc w:val="both"/>
        <w:rPr/>
      </w:pPr>
      <w:r>
        <w:rPr/>
        <w:t>We build the method as a sequence of refinement levels, each validated against the previous one (byte-identical among the swept levels; §4.6). To make the transformations concrete we follow one setting throughout: a prismatic stock, a ball-end mill, that is, a cylinder closed by a hemispherical tip of the same radius, and a single linear segment carrying the tool from p0 to p1. No dimensions are needed here, since none of the steps depends on them; the measured configurations are those of §5.</w:t>
      </w:r>
    </w:p>
    <w:p>
      <w:pPr>
        <w:pStyle w:val="BodyText"/>
        <w:bidi w:val="0"/>
        <w:ind w:hanging="0" w:left="0" w:right="0"/>
        <w:jc w:val="both"/>
        <w:rPr/>
      </w:pPr>
      <w:r>
        <w:rPr/>
        <w:t>The tool is positioned by the centre of its own bounding box: the G-code coordinate, converted to voxel units, places that centre, with no compensation for the tip radius or the shank length. This is a calibration convention rather than a modelling choice, and it applies identically to every refinement level, so it affects none of the comparisons below. It does mean that a real G-code program in millimetres cannot yet be consumed without an external calibration step (§7).</w:t>
      </w:r>
    </w:p>
    <w:p>
      <w:pPr>
        <w:pStyle w:val="Heading3"/>
        <w:jc w:val="both"/>
        <w:rPr>
          <w:color w:val="auto"/>
        </w:rPr>
      </w:pPr>
      <w:bookmarkStart w:id="7" w:name="naive-stamping-baseline"/>
      <w:r>
        <w:rPr>
          <w:color w:val="auto"/>
        </w:rPr>
        <w:t>3.1 Naive stamping (baseline)</w:t>
      </w:r>
    </w:p>
    <w:p>
      <w:pPr>
        <w:pStyle w:val="FirstParagraph"/>
        <w:jc w:val="both"/>
        <w:rPr/>
      </w:pPr>
      <w:r>
        <w:rPr/>
        <w:t>The naive simulator advances the tool along the segment in fixed jog steps and stamps the whole tool at each of them, one Boolean-difference dispatch per step, subtracting the tool at that position from the stock. The step s is a fixed distance in voxel units along the segment, independent of the segment's direction and length. A segment of length L thus costs approximately L/s dispatches. This approach has two sources of inefficiency. First, the dispatches overlap: consecutive positions differ by s while the tool footprint is many voxels wide, so every column under the tool is read, merged and rewritten several times over, even though only the first of those passes typically removes material. Second, the sampling is visible in the result: between two stamps the tool is never evaluated, so for s&gt;1 the carved floor exhibits a stepped profile (Fig. 2a). Because the stamper is a union of stamps, refining the step can only add positions to that union, never remove any; its removed volume grows monotonically as s shrinks, approaching the continuous cut from below in removed volume. §4.6 discusses how the single-pass swept subtraction relates to that limit and to the stamper.</w:t>
      </w:r>
    </w:p>
    <w:p>
      <w:pPr>
        <w:pStyle w:val="CaptionedFigure"/>
        <w:rPr>
          <w:i w:val="false"/>
          <w:iCs w:val="false"/>
        </w:rPr>
      </w:pPr>
      <w:r>
        <w:drawing>
          <wp:anchor distT="182880" distB="182880" distL="0" distR="0" simplePos="0" relativeHeight="7" behindDoc="0" locked="0" layoutInCell="0" allowOverlap="1">
            <wp:simplePos x="0" y="0"/>
            <wp:positionH relativeFrom="column">
              <wp:align>center</wp:align>
            </wp:positionH>
            <wp:positionV relativeFrom="paragraph">
              <wp:align>top</wp:align>
            </wp:positionV>
            <wp:extent cx="5731510" cy="237807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731510" cy="2378075"/>
                    </a:xfrm>
                    <a:prstGeom prst="rect">
                      <a:avLst/>
                    </a:prstGeom>
                    <a:noFill/>
                  </pic:spPr>
                </pic:pic>
              </a:graphicData>
            </a:graphic>
          </wp:anchor>
        </w:drawing>
      </w:r>
      <w:r>
        <w:rPr>
          <w:b/>
          <w:bCs/>
          <w:i w:val="false"/>
          <w:iCs w:val="false"/>
        </w:rPr>
        <w:t>Fig. 2</w:t>
      </w:r>
      <w:r>
        <w:rPr>
          <w:i w:val="false"/>
          <w:iCs w:val="false"/>
        </w:rPr>
        <w:t xml:space="preserve"> Stamping versus swept subtraction. Left: many overlapping stamps along the path: a coarse step leaves a stepped floor and re-processes each column many times (the tool is a ball-end mill: hemisphere tip plus shank). Right: a single subtraction of the swept volume, one pass with a step-free floor</w:t>
      </w:r>
      <w:bookmarkEnd w:id="7"/>
    </w:p>
    <w:p>
      <w:pPr>
        <w:pStyle w:val="Heading3"/>
        <w:jc w:val="both"/>
        <w:rPr>
          <w:color w:val="auto"/>
        </w:rPr>
      </w:pPr>
      <w:bookmarkStart w:id="8" w:name="swept-segment-subtraction"/>
      <w:r>
        <w:rPr>
          <w:color w:val="auto"/>
        </w:rPr>
        <w:t>3.2 Swept-segment subtraction</w:t>
      </w:r>
    </w:p>
    <w:p>
      <w:pPr>
        <w:pStyle w:val="FirstParagraph"/>
        <w:jc w:val="both"/>
        <w:rPr/>
      </w:pPr>
      <w:r>
        <w:rPr/>
        <w:t>Instead of L/s stamps we perform one subtraction per linear segment, of the tool's swept volume, i.e., the union of all tool positions along the segment (Fig. 2b; formally, the Minkowski sum of the tool geometry and the line segment; see [7] for a comprehensive treatment). Set difference is order-independent and distributes over unions, so subtracting the swept volume once equals stamping at every sampled sub-position along the segment. This drastically reduces the number of dispatches (quantified in §6, Table 2).</w:t>
      </w:r>
      <w:bookmarkEnd w:id="8"/>
    </w:p>
    <w:p>
      <w:pPr>
        <w:pStyle w:val="Heading3"/>
        <w:jc w:val="both"/>
        <w:rPr>
          <w:color w:val="auto"/>
        </w:rPr>
      </w:pPr>
      <w:bookmarkStart w:id="9" w:name="Xfec7af5403979dc98ad65bdfd4ea218c83c6f29"/>
      <w:r>
        <w:rPr>
          <w:color w:val="auto"/>
        </w:rPr>
        <w:t>3.3 On-the-fly Z-envelope, fused in one kernel (core contribution)</w:t>
      </w:r>
    </w:p>
    <w:p>
      <w:pPr>
        <w:pStyle w:val="FirstParagraph"/>
        <w:jc w:val="both"/>
        <w:rPr/>
      </w:pPr>
      <w:r>
        <w:rPr/>
        <w:t>The subtlety is that "subtract the swept volume" appears to require building that volume in a separate buffer and then subtracting it. We never build it. The property that makes this possible is that each XY column of the tool is a single solid interval in Z, from its lowest point to its top. This holds for the standard 3-axis tool shapes: ball-end, flat-end, conical and bull-nose cutters are all convex in Z, and the shank that closes them from above does not break the property. For the ball-end mill of our running example, the interval runs from the hemisphere bottom up to the shank top. Tools that violate it are discussed in §4.5.</w:t>
      </w:r>
    </w:p>
    <w:p>
      <w:pPr>
        <w:pStyle w:val="BodyText"/>
        <w:jc w:val="both"/>
        <w:rPr/>
      </w:pPr>
      <w:r>
        <w:rPr/>
        <w:t>Consider a fixed stock column. Only a contiguous range of sub-positions along the segment actually overlaps that column; outside this range the tool never covers it and the column stays unchanged. Within the range, each sub-position contributes one interval, whose bottom depends on the lateral offset between the tool axis and the column at that instant (Fig. 3a). Since the tool advances by at most one voxel per sub-step, the intervals contributed by consecutive sub-positions overlap; their union is therefore again a single interval, [min bottom, max top], which we call the Z-envelope (Fig. 3b). For a ball-end mill the deepest bottom occurs at the sub-position where the tool axis passes closest to the column, reaching the tip depth for a column that lies directly under the path; for a flat-end cutter the bottom is the same at every covering sub-position. The maximum top is the shank top, which lies above the stock at every instant.</w:t>
      </w:r>
    </w:p>
    <w:p>
      <w:pPr>
        <w:pStyle w:val="BodyText"/>
        <w:jc w:val="both"/>
        <w:rPr/>
      </w:pPr>
      <w:r>
        <w:rPr/>
        <w:drawing>
          <wp:inline distT="0" distB="0" distL="0" distR="0">
            <wp:extent cx="5334000" cy="22345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2234565"/>
                    </a:xfrm>
                    <a:prstGeom prst="rect">
                      <a:avLst/>
                    </a:prstGeom>
                    <a:noFill/>
                  </pic:spPr>
                </pic:pic>
              </a:graphicData>
            </a:graphic>
          </wp:inline>
        </w:drawing>
      </w:r>
    </w:p>
    <w:p>
      <w:pPr>
        <w:pStyle w:val="CaptionedFigure"/>
        <w:rPr>
          <w:i w:val="false"/>
          <w:iCs w:val="false"/>
        </w:rPr>
      </w:pPr>
      <w:r>
        <w:rPr>
          <w:b/>
          <w:bCs/>
          <w:i w:val="false"/>
          <w:iCs w:val="false"/>
        </w:rPr>
        <w:t>Fig. 3</w:t>
      </w:r>
      <w:r>
        <w:rPr>
          <w:i w:val="false"/>
          <w:iCs w:val="false"/>
        </w:rPr>
        <w:t xml:space="preserve"> The per-column Z-envelope. The three panels share one vertical Z scale. (a) Vertical section through the tool axis: the ball-end mill at three sub-steps over one fixed stock column, with the shank rising out of the workpiece. Each sub-step meets the column at its own hemisphere bottom; the deepest occurs at the sub-step where the tool passes closest to the column. (b) Each column of the tool is a single interval in Z, so every sub-step contributes [bottom(k), </w:t>
      </w:r>
      <w:r>
        <w:rPr>
          <w:rFonts w:ascii="Liberation Mono" w:hAnsi="Liberation Mono"/>
          <w:i w:val="false"/>
          <w:iCs w:val="false"/>
        </w:rPr>
        <w:t>shankTop</w:t>
      </w:r>
      <w:r>
        <w:rPr>
          <w:i w:val="false"/>
          <w:iCs w:val="false"/>
        </w:rPr>
        <w:t>]. Because the tool moves by at most one voxel per sub-step, consecutive intervals overlap and their union is again one interval: the envelope [</w:t>
      </w:r>
      <w:r>
        <w:rPr>
          <w:rFonts w:ascii="Liberation Mono" w:hAnsi="Liberation Mono"/>
          <w:i w:val="false"/>
          <w:iCs w:val="false"/>
        </w:rPr>
        <w:t>zbMin</w:t>
      </w:r>
      <w:r>
        <w:rPr>
          <w:i w:val="false"/>
          <w:iCs w:val="false"/>
        </w:rPr>
        <w:t xml:space="preserve">, </w:t>
      </w:r>
      <w:r>
        <w:rPr>
          <w:rFonts w:ascii="Liberation Mono" w:hAnsi="Liberation Mono"/>
          <w:i w:val="false"/>
          <w:iCs w:val="false"/>
        </w:rPr>
        <w:t>shankTop</w:t>
      </w:r>
      <w:r>
        <w:rPr>
          <w:i w:val="false"/>
          <w:iCs w:val="false"/>
        </w:rPr>
        <w:t xml:space="preserve">]. (c) The envelope is subtracted from the column in place, the shank-top transition being clamped away because it lies above </w:t>
      </w:r>
      <w:r>
        <w:rPr>
          <w:rFonts w:ascii="Liberation Mono" w:hAnsi="Liberation Mono"/>
          <w:i w:val="false"/>
          <w:iCs w:val="false"/>
        </w:rPr>
        <w:t>z_top</w:t>
      </w:r>
      <w:r>
        <w:rPr>
          <w:i w:val="false"/>
          <w:iCs w:val="false"/>
        </w:rPr>
        <w:t xml:space="preserve">, leaving [0, </w:t>
      </w:r>
      <w:r>
        <w:rPr>
          <w:rFonts w:ascii="Liberation Mono" w:hAnsi="Liberation Mono"/>
          <w:i w:val="false"/>
          <w:iCs w:val="false"/>
        </w:rPr>
        <w:t>zbMin</w:t>
      </w:r>
      <w:r>
        <w:rPr>
          <w:i w:val="false"/>
          <w:iCs w:val="false"/>
        </w:rPr>
        <w:t>]</w:t>
      </w:r>
    </w:p>
    <w:p>
      <w:pPr>
        <w:pStyle w:val="BodyText"/>
        <w:jc w:val="both"/>
        <w:rPr/>
      </w:pPr>
      <w:r>
        <w:rPr/>
        <w:t xml:space="preserve">A single fused compute shader accumulates this envelope in registers as it walks only the sub-positions that overlap the column, then subtracts it from the column in place, in the same pass (Fig. 3c): a two-pointer merge of the stock column against one interval, with the shank-top transition clamped away, since it lies above the stock surface. A column that starts as [0, </w:t>
      </w:r>
      <w:r>
        <w:rPr>
          <w:rFonts w:ascii="Liberation Mono" w:hAnsi="Liberation Mono"/>
        </w:rPr>
        <w:t>z_top</w:t>
      </w:r>
      <w:r>
        <w:rPr/>
        <w:t xml:space="preserve">] ends as [0, </w:t>
      </w:r>
      <w:r>
        <w:rPr>
          <w:rFonts w:ascii="Liberation Mono" w:hAnsi="Liberation Mono"/>
        </w:rPr>
        <w:t>zbMin</w:t>
      </w:r>
      <w:r>
        <w:rPr/>
        <w:t>], exactly what stamping at every sub-position of that range would produce (§4.6), from a short loop and one merge, with no buffer for the swept volume. The range of covering sub-positions is computed in closed form, as described in §3.4.</w:t>
      </w:r>
    </w:p>
    <w:p>
      <w:pPr>
        <w:pStyle w:val="BodyText"/>
        <w:jc w:val="both"/>
        <w:rPr/>
      </w:pPr>
      <w:bookmarkEnd w:id="9"/>
      <w:r>
        <w:rPr/>
        <w:t>§6.1 and §6.3 measure what this fusion buys against the external-buffer version, which needs a second full buffer and an extra pass.</w:t>
      </w:r>
    </w:p>
    <w:p>
      <w:pPr>
        <w:pStyle w:val="Heading3"/>
        <w:jc w:val="both"/>
        <w:rPr>
          <w:color w:val="auto"/>
        </w:rPr>
      </w:pPr>
      <w:bookmarkStart w:id="10" w:name="sub-step-bounding"/>
      <w:r>
        <w:rPr>
          <w:color w:val="auto"/>
        </w:rPr>
        <w:t>3.4 Sub-step bounding</w:t>
      </w:r>
    </w:p>
    <w:p>
      <w:pPr>
        <w:pStyle w:val="FirstParagraph"/>
        <w:jc w:val="both"/>
        <w:rPr/>
      </w:pPr>
      <w:r>
        <w:rPr/>
        <w:t>The range of sub-positions that actually cover a given column, [</w:t>
      </w:r>
      <w:r>
        <w:rPr>
          <w:rFonts w:ascii="Liberation Mono" w:hAnsi="Liberation Mono"/>
        </w:rPr>
        <w:t>k0</w:t>
      </w:r>
      <w:r>
        <w:rPr/>
        <w:t xml:space="preserve">, </w:t>
      </w:r>
      <w:r>
        <w:rPr>
          <w:rFonts w:ascii="Liberation Mono" w:hAnsi="Liberation Mono"/>
        </w:rPr>
        <w:t>k1</w:t>
      </w:r>
      <w:r>
        <w:rPr/>
        <w:t>], can be computed directly from the segment geometry without iterating over all sub-steps. For a linear toolpath segment from p0 to p1, the tool centre moves along a straight line in the XY plane. The tool is a solid of revolution about Z, so its XY footprint is a square of side F voxels and its radius is F/2. The lateral distance between the tool axis and a fixed column (x, y) is a convex quadratic function of the interpolation parameter t ∈ [0, 1]; the times at which this distance equals F/2 define the boundaries of the covering interval. The enclosing range [</w:t>
      </w:r>
      <w:r>
        <w:rPr>
          <w:rFonts w:ascii="Liberation Mono" w:hAnsi="Liberation Mono"/>
        </w:rPr>
        <w:t>k0</w:t>
      </w:r>
      <w:r>
        <w:rPr/>
        <w:t xml:space="preserve">, </w:t>
      </w:r>
      <w:r>
        <w:rPr>
          <w:rFonts w:ascii="Liberation Mono" w:hAnsi="Liberation Mono"/>
        </w:rPr>
        <w:t>k1</w:t>
      </w:r>
      <w:r>
        <w:rPr/>
        <w:t>] in sub-step indices is then obtained by projecting the column onto the segment, clamping to the segment endpoints, and dilating by F/2. A small safety margin (±1 voxel) is added to account for numerical rounding and to ensure that no covering sub-position is missed. Iterating only this range per column reduces the per-column work from the full segment length to approximately the tool extent on axis-aligned moves, and to a similarly reduced band on diagonal moves.</w:t>
      </w:r>
      <w:bookmarkEnd w:id="10"/>
    </w:p>
    <w:p>
      <w:pPr>
        <w:pStyle w:val="Heading3"/>
        <w:jc w:val="both"/>
        <w:rPr>
          <w:color w:val="auto"/>
        </w:rPr>
      </w:pPr>
      <w:bookmarkStart w:id="11" w:name="gpu-compaction-for-read-back"/>
      <w:r>
        <w:rPr>
          <w:color w:val="auto"/>
        </w:rPr>
        <w:t>3.5 GPU compaction for read-back</w:t>
      </w:r>
    </w:p>
    <w:p>
      <w:pPr>
        <w:pStyle w:val="FirstParagraph"/>
        <w:jc w:val="both"/>
        <w:rPr/>
      </w:pPr>
      <w:r>
        <w:rPr/>
        <w:t>After carving, the result must be returned to the host in the compact column format. Reading back the unpacked working buffer would transfer the entire fixed-stride flat buffer, including all unused slots, which is wasteful. Instead, we compact the result on the GPU first (§4.2), producing a densely packed transition list that contains only the actual transitions of each column. This reduces the read-back traffic by approximately an order of magnitude, since the compact representation transfers only the transitions that are actually present, rather than the full allocated buffer. Quantitative figures for the reference benchmark are given in §6.3.</w:t>
      </w:r>
      <w:bookmarkEnd w:id="11"/>
    </w:p>
    <w:p>
      <w:pPr>
        <w:pStyle w:val="Heading3"/>
        <w:jc w:val="both"/>
        <w:rPr>
          <w:color w:val="auto"/>
        </w:rPr>
      </w:pPr>
      <w:bookmarkStart w:id="12" w:name="tube-pruning-the-new-optimization"/>
      <w:r>
        <w:rPr>
          <w:color w:val="auto"/>
        </w:rPr>
        <w:t>3.6 Tube pruning (the new optimization)</w:t>
      </w:r>
    </w:p>
    <w:p>
      <w:pPr>
        <w:pStyle w:val="FirstParagraph"/>
        <w:jc w:val="both"/>
        <w:rPr/>
      </w:pPr>
      <w:r>
        <w:rPr/>
        <w:t>The dispatch (§4.3) covers the axis-aligned bounding box (AABB) of the two tool-centre endpoints, dilated by the tool footprint (Fig. 4a). For an axis-aligned move, that AABB already equals the swept band, but for a diagonal move of length L it is approximately (0.7L+F)</w:t>
      </w:r>
      <w:r>
        <w:rPr/>
        <w:t>^2</w:t>
      </w:r>
      <w:r>
        <w:rPr/>
        <w:t xml:space="preserve"> columns while the tool sweeps only approximately L*F, so most of the dispatch falls outside the band. Every over-covered column still rewrites its entire allocated slot count for a no-op, because the shader had no early-out before its write-back (Fig. 4b). In-air rapid (G0) moves are the same: the tool is above the stock, so every column is a no-op that still rewrites its slots (Fig. 4c).</w:t>
      </w:r>
    </w:p>
    <w:p>
      <w:pPr>
        <w:pStyle w:val="BodyText"/>
        <w:jc w:val="both"/>
        <w:rPr/>
      </w:pPr>
      <w:r>
        <w:rPr/>
        <w:drawing>
          <wp:inline distT="0" distB="0" distL="0" distR="0">
            <wp:extent cx="5334000" cy="223456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2234565"/>
                    </a:xfrm>
                    <a:prstGeom prst="rect">
                      <a:avLst/>
                    </a:prstGeom>
                    <a:noFill/>
                  </pic:spPr>
                </pic:pic>
              </a:graphicData>
            </a:graphic>
          </wp:inline>
        </w:drawing>
      </w:r>
    </w:p>
    <w:p>
      <w:pPr>
        <w:pStyle w:val="CaptionedFigure"/>
        <w:rPr/>
      </w:pPr>
      <w:r>
        <w:rPr>
          <w:b/>
          <w:bCs/>
          <w:i w:val="false"/>
          <w:iCs w:val="false"/>
        </w:rPr>
        <w:t>Fig. 4</w:t>
      </w:r>
      <w:r>
        <w:rPr>
          <w:i w:val="false"/>
          <w:iCs w:val="false"/>
        </w:rPr>
        <w:t xml:space="preserve"> Tube pruning. (a) A long diagonal segment seen from above: the dispatch AABB (dashed) is far larger than the swept band it contains, </w:t>
      </w:r>
      <w:r>
        <w:rPr/>
        <w:t>and the off-band columns are no-ops that the baseline still rewrites.</w:t>
      </w:r>
      <w:r>
        <w:rPr>
          <w:i w:val="false"/>
          <w:iCs w:val="false"/>
        </w:rPr>
        <w:t xml:space="preserve"> (b) Columns written per segment, with and without pruning, in the ratio given by the geometry drawn in (a); skipping the write-back leaves the off-band columns untouched, so the result is byte-identical. (c) In-air rapids are the extreme case: the removed interval lies entirely outside the stock's Z-range, so every column is skipped and the whole segment is dropped on the host. Panels (a) and (c) correspond to the two branches of the same early-out</w:t>
      </w:r>
    </w:p>
    <w:p>
      <w:pPr>
        <w:pStyle w:val="BodyText"/>
        <w:jc w:val="both"/>
        <w:rPr/>
      </w:pPr>
      <w:r>
        <w:rPr/>
        <w:t>The solution is a single early-out in the shader (§4.4): before the merge and write-back, the shader returns when the tool never covers the column, which is the case of Fig. 4a, or when the removed interval lies entirely outside the stock's Z-range, the case of Fig. 4c. The column is left untouched, which is correct because it is unchanged, and its write traffic vanishes. This is what makes over-dispatched diagonals and in-air rapids cheap; axis-aligned dispatches are fully covered, so the test never pays there and costs up to 11% (§6.1).</w:t>
      </w:r>
    </w:p>
    <w:p>
      <w:pPr>
        <w:pStyle w:val="BodyText"/>
        <w:jc w:val="both"/>
        <w:rPr/>
      </w:pPr>
      <w:r>
        <w:rPr/>
        <w:t xml:space="preserve">The same pruning applies one level up, on the host, at segment granularity: when the tool's Z-extent over a whole segment cannot reach the stock's [0, </w:t>
      </w:r>
      <w:r>
        <w:rPr>
          <w:rFonts w:ascii="Liberation Mono" w:hAnsi="Liberation Mono"/>
        </w:rPr>
        <w:t>z1</w:t>
      </w:r>
      <w:r>
        <w:rPr/>
        <w:t>) range (the common case for an in-air G0 rapid, which maps below the stock under the inverted-Z convention), the segment removes nothing and its entire dispatch is skipped, not merely pruned per column. Rapids become much cheaper (quantified in §6, Table 1), and every program with repositioning moves speeds up; this optimization is host-side, byte-identical, and gated by the same toggle.</w:t>
      </w:r>
      <w:bookmarkEnd w:id="6"/>
      <w:bookmarkEnd w:id="12"/>
    </w:p>
    <w:p>
      <w:pPr>
        <w:pStyle w:val="Heading2"/>
        <w:jc w:val="both"/>
        <w:rPr/>
      </w:pPr>
      <w:r>
        <w:rPr>
          <w:color w:val="auto"/>
        </w:rPr>
        <w:t xml:space="preserve">4. </w:t>
      </w:r>
      <w:bookmarkStart w:id="13" w:name="algorithm-and-gpu-implementation"/>
      <w:r>
        <w:rPr>
          <w:color w:val="auto"/>
        </w:rPr>
        <w:t>Algorithm and GPU implementation</w:t>
      </w:r>
    </w:p>
    <w:p>
      <w:pPr>
        <w:pStyle w:val="Heading3"/>
        <w:jc w:val="both"/>
        <w:rPr>
          <w:color w:val="auto"/>
        </w:rPr>
      </w:pPr>
      <w:bookmarkStart w:id="14" w:name="a-short-gpu-compute-primer"/>
      <w:r>
        <w:rPr>
          <w:color w:val="auto"/>
        </w:rPr>
        <w:t>4.1 A short GPU-compute primer</w:t>
      </w:r>
    </w:p>
    <w:p>
      <w:pPr>
        <w:pStyle w:val="FirstParagraph"/>
        <w:jc w:val="both"/>
        <w:rPr/>
      </w:pPr>
      <w:r>
        <w:rPr/>
        <w:t xml:space="preserve">The pipeline uses compute shaders: programs that run on the GPU outside the graphics pipeline. A program is launched by a dispatch that creates a grid of workgroups; each workgroup contains a fixed block of threads that execute the shader in parallel (in our case, </w:t>
      </w:r>
      <w:r>
        <w:rPr>
          <w:rFonts w:ascii="Liberation Mono" w:hAnsi="Liberation Mono"/>
        </w:rPr>
        <w:t>local_size</w:t>
      </w:r>
      <w:r>
        <w:rPr/>
        <w:t xml:space="preserve"> = 8×8×1, so 64 threads per workgroup). Each thread reads its </w:t>
      </w:r>
      <w:r>
        <w:rPr>
          <w:rFonts w:ascii="Liberation Mono" w:hAnsi="Liberation Mono"/>
        </w:rPr>
        <w:t>gl_GlobalInvocationID</w:t>
      </w:r>
      <w:r>
        <w:rPr/>
        <w:t>, a three-dimensional index identifying it within the whole grid. Data is stored in Shader Storage Buffer Objects (SSBOs): large GPU-resident arrays that the shader reads and writes. Ordering between dependent dispatches is enforced by a memory barrier. In our carver, one thread processes one workpiece column; this is how the per-column-merge property of the dexel representation (§2) maps directly onto the hardware.</w:t>
      </w:r>
      <w:bookmarkEnd w:id="14"/>
    </w:p>
    <w:p>
      <w:pPr>
        <w:pStyle w:val="Heading3"/>
        <w:jc w:val="both"/>
        <w:rPr>
          <w:color w:val="auto"/>
        </w:rPr>
      </w:pPr>
      <w:bookmarkStart w:id="15" w:name="data-layout-the-flat-working-buffer"/>
      <w:r>
        <w:rPr>
          <w:color w:val="auto"/>
        </w:rPr>
        <w:t>4.2 Data layout: the flat working buffer</w:t>
      </w:r>
    </w:p>
    <w:p>
      <w:pPr>
        <w:pStyle w:val="FirstParagraph"/>
        <w:jc w:val="both"/>
        <w:rPr/>
      </w:pPr>
      <w:r>
        <w:rPr/>
        <w:t xml:space="preserve">During a carving session the stock is held GPU-resident in a fixed-stride flat buffer, </w:t>
      </w:r>
      <w:r>
        <w:rPr>
          <w:rFonts w:ascii="Liberation Mono" w:hAnsi="Liberation Mono"/>
        </w:rPr>
        <w:t>obj1_flat</w:t>
      </w:r>
      <w:r>
        <w:rPr/>
        <w:t>, of W*H*</w:t>
      </w:r>
      <w:r>
        <w:rPr>
          <w:rFonts w:ascii="Liberation Mono" w:hAnsi="Liberation Mono"/>
        </w:rPr>
        <w:t>MAX_TRANSITIONS</w:t>
      </w:r>
      <w:r>
        <w:rPr/>
        <w:t xml:space="preserve"> unsigned integers, plus a per-column count buffer </w:t>
      </w:r>
      <w:r>
        <w:rPr>
          <w:rFonts w:ascii="Liberation Mono" w:hAnsi="Liberation Mono"/>
        </w:rPr>
        <w:t>obj1_dataNum</w:t>
      </w:r>
      <w:r>
        <w:rPr/>
        <w:t xml:space="preserve">. Column (x, y) owns the slice of </w:t>
      </w:r>
      <w:r>
        <w:rPr>
          <w:rFonts w:ascii="Liberation Mono" w:hAnsi="Liberation Mono"/>
        </w:rPr>
        <w:t>MAX_TRANSITIONS</w:t>
      </w:r>
      <w:r>
        <w:rPr/>
        <w:t xml:space="preserve"> slots at offset (x+y*W)*</w:t>
      </w:r>
      <w:r>
        <w:rPr>
          <w:rFonts w:ascii="Liberation Mono" w:hAnsi="Liberation Mono"/>
        </w:rPr>
        <w:t>MAX_TRANSITIONS</w:t>
      </w:r>
      <w:r>
        <w:rPr/>
        <w:t>. Subtractions write results in place into the same slots, so no per-operation reallocation is needed. This buffer is the working set whose bandwidth dominates the cost of a carve (§7); its size for the reference stock of §5.2 is given in §6.3.</w:t>
      </w:r>
    </w:p>
    <w:p>
      <w:pPr>
        <w:pStyle w:val="BodyText"/>
        <w:jc w:val="both"/>
        <w:rPr/>
      </w:pPr>
      <w:r>
        <w:rPr/>
        <w:t xml:space="preserve">The value </w:t>
      </w:r>
      <w:r>
        <w:rPr>
          <w:rFonts w:ascii="Liberation Mono" w:hAnsi="Liberation Mono"/>
        </w:rPr>
        <w:t>MAX_TRANSITIONS</w:t>
      </w:r>
      <w:r>
        <w:rPr>
          <w:rFonts w:eastAsia="Arial" w:cs="" w:cstheme="minorBidi" w:eastAsiaTheme="minorHAnsi"/>
          <w:color w:val="auto"/>
          <w:kern w:val="0"/>
          <w:sz w:val="24"/>
          <w:szCs w:val="24"/>
          <w:lang w:val="en-US" w:eastAsia="en-US" w:bidi="ar-SA"/>
        </w:rPr>
        <w:t xml:space="preserve"> = 32 is </w:t>
      </w:r>
      <w:r>
        <w:rPr/>
        <w:t>chosen as a safe upp</w:t>
      </w:r>
      <w:r>
        <w:rPr>
          <w:rFonts w:ascii="Arial" w:hAnsi="Arial"/>
        </w:rPr>
        <w:t>er bound</w:t>
      </w:r>
      <w:r>
        <w:rPr>
          <w:rFonts w:eastAsia="Arial" w:cs="" w:ascii="Arial" w:hAnsi="Arial" w:cstheme="minorBidi" w:eastAsiaTheme="minorHAnsi"/>
          <w:color w:val="auto"/>
          <w:kern w:val="0"/>
          <w:sz w:val="24"/>
          <w:szCs w:val="24"/>
          <w:lang w:val="en-US" w:eastAsia="en-US" w:bidi="ar-SA"/>
        </w:rPr>
        <w:t xml:space="preserve">. </w:t>
      </w:r>
      <w:r>
        <w:rPr>
          <w:rStyle w:val="SourceText"/>
          <w:rFonts w:eastAsia="Arial" w:cs="" w:ascii="Arial" w:hAnsi="Arial" w:cstheme="minorBidi" w:eastAsiaTheme="minorHAnsi"/>
          <w:color w:val="auto"/>
          <w:kern w:val="0"/>
          <w:sz w:val="24"/>
          <w:szCs w:val="24"/>
          <w:lang w:val="en-US" w:eastAsia="en-US" w:bidi="ar-SA"/>
        </w:rPr>
        <w:t>A column crosses the boundary only a handful of times (§2), and even complex parts rarely exceed a few dozen transitions, so a fixed stride of 32 slots covers</w:t>
      </w:r>
      <w:r>
        <w:rPr>
          <w:rFonts w:eastAsia="Arial" w:cs="" w:ascii="Arial" w:hAnsi="Arial" w:cstheme="minorBidi" w:eastAsiaTheme="minorHAnsi"/>
          <w:color w:val="auto"/>
          <w:kern w:val="0"/>
          <w:sz w:val="24"/>
          <w:szCs w:val="24"/>
          <w:lang w:val="en-US" w:eastAsia="en-US" w:bidi="ar-SA"/>
        </w:rPr>
        <w:t xml:space="preserve"> th</w:t>
      </w:r>
      <w:r>
        <w:rPr>
          <w:rFonts w:ascii="Arial" w:hAnsi="Arial"/>
        </w:rPr>
        <w:t>e vast majority of p</w:t>
      </w:r>
      <w:r>
        <w:rPr/>
        <w:t xml:space="preserve">ractical cases while keeping memory access patterns regular and predictable. Occupancy queries read only the first </w:t>
      </w:r>
      <w:r>
        <w:rPr>
          <w:rStyle w:val="VerbatimChar"/>
          <w:rFonts w:ascii="Liberation Mono" w:hAnsi="Liberation Mono"/>
        </w:rPr>
        <w:t>obj1_dataNum[i]</w:t>
      </w:r>
      <w:r>
        <w:rPr/>
        <w:t xml:space="preserve"> slots of a column, but the write-back covers the whole stride: the merge writes the new transitions and then zeroes the remaining slots. Every column the shader does not skip therefore costs a full stride of write traffic, which is what the early-out of §3.6 avoids and what §6.4 measures directly.</w:t>
      </w:r>
    </w:p>
    <w:p>
      <w:pPr>
        <w:pStyle w:val="BodyText"/>
        <w:jc w:val="both"/>
        <w:rPr/>
      </w:pPr>
      <w:r>
        <w:rPr/>
        <w:t xml:space="preserve">The stride is not overflow-guarded. If a column would produce more than </w:t>
      </w:r>
      <w:r>
        <w:rPr>
          <w:rFonts w:ascii="Liberation Mono" w:hAnsi="Liberation Mono"/>
        </w:rPr>
        <w:t>MAX_TRANSITIONS</w:t>
      </w:r>
      <w:r>
        <w:rPr/>
        <w:t xml:space="preserve"> transitions the merge stops there, the surplus is dropped, and the truncated list is written back with its count; the failure is a localised loss of geometry in that column, silent and non-propagating, with the rest of the carve unaffected (§7).</w:t>
      </w:r>
      <w:r>
        <w:rPr>
          <w:rFonts w:eastAsia="Arial" w:cs="" w:cstheme="minorBidi" w:eastAsiaTheme="minorHAnsi"/>
          <w:color w:val="auto"/>
          <w:kern w:val="0"/>
          <w:sz w:val="24"/>
          <w:szCs w:val="24"/>
          <w:lang w:val="en-US" w:eastAsia="en-US" w:bidi="ar-SA"/>
        </w:rPr>
        <w:t xml:space="preserve"> </w:t>
      </w:r>
      <w:r>
        <w:rPr>
          <w:rStyle w:val="SourceText"/>
          <w:rFonts w:eastAsia="Arial" w:cs="" w:cstheme="minorBidi" w:eastAsiaTheme="minorHAnsi"/>
          <w:color w:val="auto"/>
          <w:kern w:val="0"/>
          <w:sz w:val="24"/>
          <w:szCs w:val="24"/>
          <w:lang w:val="en-US" w:eastAsia="en-US" w:bidi="ar-SA"/>
        </w:rPr>
        <w:t xml:space="preserve">The margin is generous, but a column needing more than </w:t>
      </w:r>
      <w:r>
        <w:rPr>
          <w:rStyle w:val="SourceText"/>
          <w:rFonts w:eastAsia="Arial" w:cs="" w:ascii="Liberation Mono" w:hAnsi="Liberation Mono" w:cstheme="minorBidi" w:eastAsiaTheme="minorHAnsi"/>
          <w:color w:val="auto"/>
          <w:kern w:val="0"/>
          <w:sz w:val="24"/>
          <w:szCs w:val="24"/>
          <w:lang w:val="en-US" w:eastAsia="en-US" w:bidi="ar-SA"/>
        </w:rPr>
        <w:t>MAX_TRANSITIONS</w:t>
      </w:r>
      <w:r>
        <w:rPr>
          <w:rStyle w:val="SourceText"/>
          <w:rFonts w:eastAsia="Arial" w:cs="" w:cstheme="minorBidi" w:eastAsiaTheme="minorHAnsi"/>
          <w:color w:val="auto"/>
          <w:kern w:val="0"/>
          <w:sz w:val="24"/>
          <w:szCs w:val="24"/>
          <w:lang w:val="en-US" w:eastAsia="en-US" w:bidi="ar-SA"/>
        </w:rPr>
        <w:t xml:space="preserve"> transitions would be clipped rather than detected</w:t>
      </w:r>
      <w:r>
        <w:rPr>
          <w:rFonts w:eastAsia="Arial" w:cs="" w:cstheme="minorBidi" w:eastAsiaTheme="minorHAnsi"/>
          <w:color w:val="auto"/>
          <w:kern w:val="0"/>
          <w:sz w:val="24"/>
          <w:szCs w:val="24"/>
          <w:lang w:val="en-US" w:eastAsia="en-US" w:bidi="ar-SA"/>
        </w:rPr>
        <w:t xml:space="preserve">. We </w:t>
      </w:r>
      <w:r>
        <w:rPr/>
        <w:t>did not implement detection because none of the geometries we target approaches the bound, and inputs at that extreme are outside the scope of this work; it would be near-free to add, since the merge loop already tests the stride bound at every iteration and a flag would cost one atomic write on a branch that is never taken in normal operation.</w:t>
      </w:r>
    </w:p>
    <w:p>
      <w:pPr>
        <w:pStyle w:val="BodyText"/>
        <w:jc w:val="both"/>
        <w:rPr/>
      </w:pPr>
      <w:bookmarkEnd w:id="15"/>
      <w:r>
        <w:rPr>
          <w:rStyle w:val="SourceText"/>
          <w:rFonts w:ascii="Arial" w:hAnsi="Arial"/>
        </w:rPr>
        <w:t xml:space="preserve">The tool is uploaded once as a compact </w:t>
      </w:r>
      <w:r>
        <w:rPr>
          <w:rStyle w:val="SourceText"/>
        </w:rPr>
        <w:t>(</w:t>
      </w:r>
      <w:r>
        <w:rPr>
          <w:rStyle w:val="SourceText"/>
          <w:rFonts w:eastAsia="Arial" w:cs="" w:cstheme="minorBidi" w:eastAsiaTheme="minorHAnsi"/>
          <w:color w:val="auto"/>
          <w:kern w:val="0"/>
          <w:sz w:val="24"/>
          <w:szCs w:val="24"/>
          <w:lang w:val="en-US" w:eastAsia="en-US" w:bidi="ar-SA"/>
        </w:rPr>
        <w:t>compressedData</w:t>
      </w:r>
      <w:r>
        <w:rPr>
          <w:rStyle w:val="SourceText"/>
        </w:rPr>
        <w:t xml:space="preserve">, </w:t>
      </w:r>
      <w:r>
        <w:rPr>
          <w:rStyle w:val="SourceText"/>
          <w:rFonts w:eastAsia="Arial" w:cs="" w:cstheme="minorBidi" w:eastAsiaTheme="minorHAnsi"/>
          <w:color w:val="auto"/>
          <w:kern w:val="0"/>
          <w:sz w:val="24"/>
          <w:szCs w:val="24"/>
          <w:lang w:val="en-US" w:eastAsia="en-US" w:bidi="ar-SA"/>
        </w:rPr>
        <w:t>prefixSumData</w:t>
      </w:r>
      <w:r>
        <w:rPr>
          <w:rStyle w:val="SourceText"/>
        </w:rPr>
        <w:t xml:space="preserve">) </w:t>
      </w:r>
      <w:r>
        <w:rPr>
          <w:rStyle w:val="SourceText"/>
          <w:rFonts w:ascii="Arial" w:hAnsi="Arial"/>
        </w:rPr>
        <w:t>pair and never mutates.</w:t>
      </w:r>
    </w:p>
    <w:p>
      <w:pPr>
        <w:pStyle w:val="Heading3"/>
        <w:jc w:val="both"/>
        <w:rPr>
          <w:color w:val="auto"/>
        </w:rPr>
      </w:pPr>
      <w:bookmarkStart w:id="16" w:name="Xa25e2162b75bf9c3c6d82c58e3971be5394c6af"/>
      <w:r>
        <w:rPr>
          <w:color w:val="auto"/>
        </w:rPr>
        <w:t>4.3 Dispatch: mapping threads onto the XY grid</w:t>
      </w:r>
    </w:p>
    <w:p>
      <w:pPr>
        <w:pStyle w:val="FirstParagraph"/>
        <w:jc w:val="both"/>
        <w:rPr/>
      </w:pPr>
      <w:r>
        <w:rPr/>
        <w:t>For each segment the host computes the swept bounding box, i.e. the AABB of the two tool-centre endpoints dilated by the tool half-footprint F/2, then clamps it so that it addresses only columns in [0, W) × [0, H), since a segment near an edge of the stock, or one passing outside it altogether, would otherwise dilate past the grid. This gives an origin (</w:t>
      </w:r>
      <w:r>
        <w:rPr>
          <w:rFonts w:ascii="Liberation Mono" w:hAnsi="Liberation Mono"/>
        </w:rPr>
        <w:t>baseX</w:t>
      </w:r>
      <w:r>
        <w:rPr/>
        <w:t xml:space="preserve">, </w:t>
      </w:r>
      <w:r>
        <w:rPr>
          <w:rFonts w:ascii="Liberation Mono" w:hAnsi="Liberation Mono"/>
        </w:rPr>
        <w:t>baseY</w:t>
      </w:r>
      <w:r>
        <w:rPr/>
        <w:t>) and a size (</w:t>
      </w:r>
      <w:r>
        <w:rPr>
          <w:rFonts w:ascii="Liberation Mono" w:hAnsi="Liberation Mono"/>
        </w:rPr>
        <w:t>bboxW</w:t>
      </w:r>
      <w:r>
        <w:rPr/>
        <w:t xml:space="preserve">, </w:t>
      </w:r>
      <w:r>
        <w:rPr>
          <w:rFonts w:ascii="Liberation Mono" w:hAnsi="Liberation Mono"/>
        </w:rPr>
        <w:t>bboxH</w:t>
      </w:r>
      <w:r>
        <w:rPr/>
        <w:t>) that address existing columns only (Fig. 5a). The implementation reads the two tool extents (</w:t>
      </w:r>
      <w:r>
        <w:rPr>
          <w:rFonts w:ascii="Liberation Mono" w:hAnsi="Liberation Mono"/>
        </w:rPr>
        <w:t>w2</w:t>
      </w:r>
      <w:r>
        <w:rPr/>
        <w:t xml:space="preserve">/2, </w:t>
      </w:r>
      <w:r>
        <w:rPr>
          <w:rFonts w:ascii="Liberation Mono" w:hAnsi="Liberation Mono"/>
        </w:rPr>
        <w:t>h2</w:t>
      </w:r>
      <w:r>
        <w:rPr/>
        <w:t>/2) separately only because the same structure also holds the non-square stock. It then dispatches ⌈</w:t>
      </w:r>
      <w:r>
        <w:rPr>
          <w:rFonts w:ascii="Liberation Mono" w:hAnsi="Liberation Mono"/>
        </w:rPr>
        <w:t>bboxW</w:t>
      </w:r>
      <w:r>
        <w:rPr/>
        <w:t>/8⌉ × ⌈</w:t>
      </w:r>
      <w:r>
        <w:rPr>
          <w:rFonts w:ascii="Liberation Mono" w:hAnsi="Liberation Mono"/>
        </w:rPr>
        <w:t>bboxH</w:t>
      </w:r>
      <w:r>
        <w:rPr/>
        <w:t xml:space="preserve">/8⌉ workgroups (Fig. 5b), and inside the shader each thread recovers its column as </w:t>
      </w:r>
      <w:r>
        <w:rPr>
          <w:rFonts w:ascii="Liberation Mono" w:hAnsi="Liberation Mono"/>
        </w:rPr>
        <w:t>gx</w:t>
      </w:r>
      <w:r>
        <w:rPr/>
        <w:t xml:space="preserve"> = </w:t>
      </w:r>
      <w:r>
        <w:rPr>
          <w:rFonts w:ascii="Liberation Mono" w:hAnsi="Liberation Mono"/>
        </w:rPr>
        <w:t>baseX</w:t>
      </w:r>
      <w:r>
        <w:rPr/>
        <w:t>+</w:t>
      </w:r>
      <w:r>
        <w:rPr>
          <w:rFonts w:ascii="Liberation Mono" w:hAnsi="Liberation Mono"/>
        </w:rPr>
        <w:t>gl_GlobalInvocationID</w:t>
      </w:r>
      <w:r>
        <w:rPr/>
        <w:t xml:space="preserve">.x, </w:t>
      </w:r>
      <w:r>
        <w:rPr>
          <w:rFonts w:ascii="Liberation Mono" w:hAnsi="Liberation Mono"/>
        </w:rPr>
        <w:t>gy</w:t>
      </w:r>
      <w:r>
        <w:rPr/>
        <w:t xml:space="preserve"> = </w:t>
      </w:r>
      <w:r>
        <w:rPr>
          <w:rFonts w:ascii="Liberation Mono" w:hAnsi="Liberation Mono"/>
        </w:rPr>
        <w:t>baseY</w:t>
      </w:r>
      <w:r>
        <w:rPr/>
        <w:t>+</w:t>
      </w:r>
      <w:r>
        <w:rPr>
          <w:rFonts w:ascii="Liberation Mono" w:hAnsi="Liberation Mono"/>
        </w:rPr>
        <w:t>gl_GlobalInvocationID</w:t>
      </w:r>
      <w:r>
        <w:rPr/>
        <w:t>.y (Fig. 5c).</w:t>
      </w:r>
    </w:p>
    <w:p>
      <w:pPr>
        <w:pStyle w:val="BodyText"/>
        <w:jc w:val="both"/>
        <w:rPr/>
      </w:pPr>
      <w:r>
        <w:rPr/>
        <w:t xml:space="preserve">Rounding up to whole workgroups overshoots the bounding box by up to seven columns per edge, and what those surplus threads do depends on where the box sits. When the box was clamped to the far edge of the grid they fall outside the workpiece, and the shader's </w:t>
      </w:r>
      <w:r>
        <w:rPr>
          <w:rFonts w:ascii="Liberation Mono" w:hAnsi="Liberation Mono"/>
        </w:rPr>
        <w:t>gx</w:t>
      </w:r>
      <w:r>
        <w:rPr/>
        <w:t xml:space="preserve"> ≥ W or </w:t>
      </w:r>
      <w:r>
        <w:rPr>
          <w:rFonts w:ascii="Liberation Mono" w:hAnsi="Liberation Mono"/>
        </w:rPr>
        <w:t>gy</w:t>
      </w:r>
      <w:r>
        <w:rPr/>
        <w:t xml:space="preserve"> ≥ H test returns them immediately. When the box ends before that edge, they address real columns just past the swept footprint and run to completion, finding nothing to remove: no-ops that the early-out of §3.6 stops before the write-back. Because both corners are clamped, that test can never fire on a column inside the bounding box; it is purely a guard against the workgroup rounding.</w:t>
      </w:r>
    </w:p>
    <w:p>
      <w:pPr>
        <w:pStyle w:val="BodyText"/>
        <w:jc w:val="both"/>
        <w:rPr/>
      </w:pPr>
      <w:r>
        <w:rPr/>
        <w:drawing>
          <wp:inline distT="0" distB="0" distL="0" distR="0">
            <wp:extent cx="5334000" cy="226123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1"/>
                    <a:stretch>
                      <a:fillRect/>
                    </a:stretch>
                  </pic:blipFill>
                  <pic:spPr bwMode="auto">
                    <a:xfrm>
                      <a:off x="0" y="0"/>
                      <a:ext cx="5334000" cy="2261235"/>
                    </a:xfrm>
                    <a:prstGeom prst="rect">
                      <a:avLst/>
                    </a:prstGeom>
                    <a:noFill/>
                  </pic:spPr>
                </pic:pic>
              </a:graphicData>
            </a:graphic>
          </wp:inline>
        </w:drawing>
      </w:r>
    </w:p>
    <w:p>
      <w:pPr>
        <w:pStyle w:val="CaptionedFigure"/>
        <w:rPr/>
      </w:pPr>
      <w:r>
        <w:rPr>
          <w:b/>
          <w:bCs/>
        </w:rPr>
        <w:t>Fig. 5</w:t>
      </w:r>
      <w:r>
        <w:rPr/>
        <w:t xml:space="preserve"> Mapping compute threads onto the workpiece column grid. (a) The host restricts the dispatch to the swept bounding box, the AABB of the segment endpoints dilated by F/2 and clamped to the grid, giving the origin (</w:t>
      </w:r>
      <w:r>
        <w:rPr>
          <w:rFonts w:ascii="Liberation Mono" w:hAnsi="Liberation Mono"/>
        </w:rPr>
        <w:t>baseX</w:t>
      </w:r>
      <w:r>
        <w:rPr/>
        <w:t xml:space="preserve">, </w:t>
      </w:r>
      <w:r>
        <w:rPr>
          <w:rFonts w:ascii="Liberation Mono" w:hAnsi="Liberation Mono"/>
        </w:rPr>
        <w:t>baseY</w:t>
      </w:r>
      <w:r>
        <w:rPr/>
        <w:t xml:space="preserve">) and the size </w:t>
      </w:r>
      <w:r>
        <w:rPr>
          <w:rFonts w:ascii="Liberation Mono" w:hAnsi="Liberation Mono"/>
        </w:rPr>
        <w:t>bboxW</w:t>
      </w:r>
      <w:r>
        <w:rPr/>
        <w:t xml:space="preserve"> × </w:t>
      </w:r>
      <w:r>
        <w:rPr>
          <w:rFonts w:ascii="Liberation Mono" w:hAnsi="Liberation Mono"/>
        </w:rPr>
        <w:t>bboxH</w:t>
      </w:r>
      <w:r>
        <w:rPr/>
        <w:t>. (b) The box is tiled into ⌈</w:t>
      </w:r>
      <w:r>
        <w:rPr>
          <w:rFonts w:ascii="Liberation Mono" w:hAnsi="Liberation Mono"/>
        </w:rPr>
        <w:t>bboxW</w:t>
      </w:r>
      <w:r>
        <w:rPr/>
        <w:t>/8⌉ × ⌈</w:t>
      </w:r>
      <w:r>
        <w:rPr>
          <w:rFonts w:ascii="Liberation Mono" w:hAnsi="Liberation Mono"/>
        </w:rPr>
        <w:t>bboxH</w:t>
      </w:r>
      <w:r>
        <w:rPr/>
        <w:t>/8⌉ workgroups of 8×8 threads; rounding up overshoots, so the last workgroups cover columns outside the box, and those past the edge of the workpiece return immediately. (c) Each thread handles one column, recovered from its global invocation ID</w:t>
      </w:r>
      <w:bookmarkEnd w:id="16"/>
    </w:p>
    <w:p>
      <w:pPr>
        <w:pStyle w:val="Heading3"/>
        <w:jc w:val="both"/>
        <w:rPr>
          <w:color w:val="auto"/>
        </w:rPr>
      </w:pPr>
      <w:bookmarkStart w:id="17" w:name="the-subtract_swept-shader-step-by-step"/>
      <w:r>
        <w:rPr>
          <w:color w:val="auto"/>
        </w:rPr>
        <w:t xml:space="preserve">4.4 The </w:t>
      </w:r>
      <w:r>
        <w:rPr>
          <w:rFonts w:ascii="Liberation Mono" w:hAnsi="Liberation Mono"/>
          <w:color w:val="auto"/>
        </w:rPr>
        <w:t>subtract_swept</w:t>
      </w:r>
      <w:r>
        <w:rPr>
          <w:color w:val="auto"/>
        </w:rPr>
        <w:t xml:space="preserve"> shader, step by step</w:t>
      </w:r>
    </w:p>
    <w:p>
      <w:pPr>
        <w:pStyle w:val="FirstParagraph"/>
        <w:jc w:val="both"/>
        <w:rPr/>
      </w:pPr>
      <w:r>
        <w:rPr/>
        <w:t xml:space="preserve">Each thread runs the following steps (Fig. 6). The shader is deliberately branch-light and reads the tool from cached buffers, while the large </w:t>
      </w:r>
      <w:r>
        <w:rPr>
          <w:rFonts w:ascii="Liberation Mono" w:hAnsi="Liberation Mono"/>
        </w:rPr>
        <w:t>obj1_flat</w:t>
      </w:r>
      <w:r>
        <w:rPr/>
        <w:t xml:space="preserve"> buffer is read once and written once per column.</w:t>
      </w:r>
    </w:p>
    <w:p>
      <w:pPr>
        <w:pStyle w:val="BodyText"/>
        <w:numPr>
          <w:ilvl w:val="0"/>
          <w:numId w:val="16"/>
        </w:numPr>
        <w:jc w:val="both"/>
        <w:rPr/>
      </w:pPr>
      <w:r>
        <w:rPr/>
        <w:t xml:space="preserve">Identify the column: recover </w:t>
      </w:r>
      <w:r>
        <w:rPr>
          <w:rFonts w:ascii="Liberation Mono" w:hAnsi="Liberation Mono"/>
        </w:rPr>
        <w:t>gx</w:t>
      </w:r>
      <w:r>
        <w:rPr/>
        <w:t xml:space="preserve"> = </w:t>
      </w:r>
      <w:r>
        <w:rPr>
          <w:rFonts w:ascii="Liberation Mono" w:hAnsi="Liberation Mono"/>
        </w:rPr>
        <w:t>baseX</w:t>
      </w:r>
      <w:r>
        <w:rPr/>
        <w:t>+</w:t>
      </w:r>
      <w:r>
        <w:rPr>
          <w:rFonts w:ascii="Liberation Mono" w:hAnsi="Liberation Mono"/>
        </w:rPr>
        <w:t>gl_GlobalInvocationID</w:t>
      </w:r>
      <w:r>
        <w:rPr/>
        <w:t xml:space="preserve">.x and </w:t>
      </w:r>
      <w:r>
        <w:rPr>
          <w:rFonts w:ascii="Liberation Mono" w:hAnsi="Liberation Mono"/>
        </w:rPr>
        <w:t>gy</w:t>
      </w:r>
      <w:r>
        <w:rPr/>
        <w:t xml:space="preserve"> = </w:t>
      </w:r>
      <w:r>
        <w:rPr>
          <w:rFonts w:ascii="Liberation Mono" w:hAnsi="Liberation Mono"/>
        </w:rPr>
        <w:t>baseY</w:t>
      </w:r>
      <w:r>
        <w:rPr/>
        <w:t>+</w:t>
      </w:r>
      <w:r>
        <w:rPr>
          <w:rFonts w:ascii="Liberation Mono" w:hAnsi="Liberation Mono"/>
        </w:rPr>
        <w:t>gl_GlobalInvocationID</w:t>
      </w:r>
      <w:r>
        <w:rPr/>
        <w:t xml:space="preserve">.y from the thread's position in the dispatch (§4.3), and return immediately if </w:t>
      </w:r>
      <w:r>
        <w:rPr>
          <w:rFonts w:ascii="Liberation Mono" w:hAnsi="Liberation Mono"/>
        </w:rPr>
        <w:t>gx</w:t>
      </w:r>
      <w:r>
        <w:rPr/>
        <w:t xml:space="preserve"> ≥ W or </w:t>
      </w:r>
      <w:r>
        <w:rPr>
          <w:rFonts w:ascii="Liberation Mono" w:hAnsi="Liberation Mono"/>
        </w:rPr>
        <w:t>gy</w:t>
      </w:r>
      <w:r>
        <w:rPr/>
        <w:t xml:space="preserve"> ≥ H.</w:t>
      </w:r>
    </w:p>
    <w:p>
      <w:pPr>
        <w:pStyle w:val="BodyText"/>
        <w:numPr>
          <w:ilvl w:val="0"/>
          <w:numId w:val="17"/>
        </w:numPr>
        <w:jc w:val="both"/>
        <w:rPr/>
      </w:pPr>
      <w:r>
        <w:rPr/>
        <w:t xml:space="preserve">Read the stock column: its transition count count1 from </w:t>
      </w:r>
      <w:r>
        <w:rPr>
          <w:rFonts w:ascii="Liberation Mono" w:hAnsi="Liberation Mono"/>
        </w:rPr>
        <w:t>obj1_dataNum</w:t>
      </w:r>
      <w:r>
        <w:rPr/>
        <w:t xml:space="preserve">, and its transitions from </w:t>
      </w:r>
      <w:r>
        <w:rPr>
          <w:rFonts w:ascii="Liberation Mono" w:hAnsi="Liberation Mono"/>
        </w:rPr>
        <w:t>obj1_flat</w:t>
      </w:r>
      <w:r>
        <w:rPr/>
        <w:t>.</w:t>
      </w:r>
    </w:p>
    <w:p>
      <w:pPr>
        <w:pStyle w:val="BodyText"/>
        <w:numPr>
          <w:ilvl w:val="0"/>
          <w:numId w:val="8"/>
        </w:numPr>
        <w:jc w:val="both"/>
        <w:rPr/>
      </w:pPr>
      <w:r>
        <w:rPr/>
        <w:t>Bound the sub-step range [</w:t>
      </w:r>
      <w:r>
        <w:rPr>
          <w:rFonts w:ascii="Liberation Mono" w:hAnsi="Liberation Mono"/>
        </w:rPr>
        <w:t>k0</w:t>
      </w:r>
      <w:r>
        <w:rPr/>
        <w:t xml:space="preserve">, </w:t>
      </w:r>
      <w:r>
        <w:rPr>
          <w:rFonts w:ascii="Liberation Mono" w:hAnsi="Liberation Mono"/>
        </w:rPr>
        <w:t>k1</w:t>
      </w:r>
      <w:r>
        <w:rPr/>
        <w:t>]: the sub-positions of the tool centre for which the tool could cover this column (the sub-positions being tr = start + round(k*Δ/K), component-wise nearest integer, for k = 0…K).</w:t>
      </w:r>
    </w:p>
    <w:p>
      <w:pPr>
        <w:pStyle w:val="BodyText"/>
        <w:numPr>
          <w:ilvl w:val="0"/>
          <w:numId w:val="8"/>
        </w:numPr>
        <w:jc w:val="both"/>
        <w:rPr/>
      </w:pPr>
      <w:r>
        <w:rPr/>
        <w:t>Accumulate the Z-envelope: loop k over [</w:t>
      </w:r>
      <w:r>
        <w:rPr>
          <w:rFonts w:ascii="Liberation Mono" w:hAnsi="Liberation Mono"/>
        </w:rPr>
        <w:t>k0</w:t>
      </w:r>
      <w:r>
        <w:rPr/>
        <w:t xml:space="preserve">, </w:t>
      </w:r>
      <w:r>
        <w:rPr>
          <w:rFonts w:ascii="Liberation Mono" w:hAnsi="Liberation Mono"/>
        </w:rPr>
        <w:t>k1</w:t>
      </w:r>
      <w:r>
        <w:rPr/>
        <w:t>]; for each, find the tool's column under (</w:t>
      </w:r>
      <w:r>
        <w:rPr>
          <w:rFonts w:ascii="Liberation Mono" w:hAnsi="Liberation Mono"/>
        </w:rPr>
        <w:t>gx</w:t>
      </w:r>
      <w:r>
        <w:rPr/>
        <w:t xml:space="preserve">, </w:t>
      </w:r>
      <w:r>
        <w:rPr>
          <w:rFonts w:ascii="Liberation Mono" w:hAnsi="Liberation Mono"/>
        </w:rPr>
        <w:t>gy</w:t>
      </w:r>
      <w:r>
        <w:rPr/>
        <w:t xml:space="preserve">) and update </w:t>
      </w:r>
      <w:r>
        <w:rPr>
          <w:rFonts w:ascii="Liberation Mono" w:hAnsi="Liberation Mono"/>
        </w:rPr>
        <w:t>zbMin</w:t>
      </w:r>
      <w:r>
        <w:rPr/>
        <w:t xml:space="preserve"> = min(</w:t>
      </w:r>
      <w:r>
        <w:rPr>
          <w:rFonts w:ascii="Liberation Mono" w:hAnsi="Liberation Mono"/>
        </w:rPr>
        <w:t>zbMin</w:t>
      </w:r>
      <w:r>
        <w:rPr/>
        <w:t xml:space="preserve">, bottom), </w:t>
      </w:r>
      <w:r>
        <w:rPr>
          <w:rFonts w:ascii="Liberation Mono" w:hAnsi="Liberation Mono"/>
        </w:rPr>
        <w:t>ztMax</w:t>
      </w:r>
      <w:r>
        <w:rPr/>
        <w:t xml:space="preserve"> = max(</w:t>
      </w:r>
      <w:r>
        <w:rPr>
          <w:rFonts w:ascii="Liberation Mono" w:hAnsi="Liberation Mono"/>
        </w:rPr>
        <w:t>ztMax</w:t>
      </w:r>
      <w:r>
        <w:rPr/>
        <w:t>, top).</w:t>
      </w:r>
    </w:p>
    <w:p>
      <w:pPr>
        <w:pStyle w:val="BodyText"/>
        <w:numPr>
          <w:ilvl w:val="0"/>
          <w:numId w:val="8"/>
        </w:numPr>
        <w:jc w:val="both"/>
        <w:rPr/>
      </w:pPr>
      <w:r>
        <w:rPr/>
        <w:t xml:space="preserve">Tube-pruning early-out: if </w:t>
      </w:r>
      <w:r>
        <w:rPr>
          <w:rStyle w:val="SourceText"/>
        </w:rPr>
        <w:t>enableSkip</w:t>
      </w:r>
      <w:r>
        <w:rPr/>
        <w:t xml:space="preserve"> and (the envelope accumulated no coverage over the whole sub-step range, </w:t>
      </w:r>
      <w:r>
        <w:rPr>
          <w:rStyle w:val="SourceText"/>
        </w:rPr>
        <w:t>hasMat == false</w:t>
      </w:r>
      <w:r>
        <w:rPr/>
        <w:t>, or the interval [zbMin, ztMax] lies entirely outside [0, z1)), return without writing (§3.6).</w:t>
      </w:r>
    </w:p>
    <w:p>
      <w:pPr>
        <w:pStyle w:val="BodyText"/>
        <w:numPr>
          <w:ilvl w:val="0"/>
          <w:numId w:val="8"/>
        </w:numPr>
        <w:jc w:val="both"/>
        <w:rPr/>
      </w:pPr>
      <w:r>
        <w:rPr/>
        <w:t>Subtract: perform a two-pointer merge of the stock column with the single interval [</w:t>
      </w:r>
      <w:r>
        <w:rPr>
          <w:rFonts w:ascii="Liberation Mono" w:hAnsi="Liberation Mono"/>
        </w:rPr>
        <w:t>zbMin</w:t>
      </w:r>
      <w:r>
        <w:rPr/>
        <w:t xml:space="preserve">, </w:t>
      </w:r>
      <w:r>
        <w:rPr>
          <w:rFonts w:ascii="Liberation Mono" w:hAnsi="Liberation Mono"/>
        </w:rPr>
        <w:t>ztMax</w:t>
      </w:r>
      <w:r>
        <w:rPr/>
        <w:t>], emitting a transition whenever the result occupancy (</w:t>
      </w:r>
      <w:r>
        <w:rPr>
          <w:rFonts w:ascii="Liberation Mono" w:hAnsi="Liberation Mono"/>
        </w:rPr>
        <w:t>stockInside</w:t>
      </w:r>
      <w:r>
        <w:rPr/>
        <w:t xml:space="preserve"> AND NOT </w:t>
      </w:r>
      <w:r>
        <w:rPr>
          <w:rFonts w:ascii="Liberation Mono" w:hAnsi="Liberation Mono"/>
        </w:rPr>
        <w:t>toolInside</w:t>
      </w:r>
      <w:r>
        <w:rPr/>
        <w:t>) changes.</w:t>
      </w:r>
    </w:p>
    <w:p>
      <w:pPr>
        <w:pStyle w:val="BodyText"/>
        <w:numPr>
          <w:ilvl w:val="0"/>
          <w:numId w:val="8"/>
        </w:numPr>
        <w:jc w:val="both"/>
        <w:rPr/>
      </w:pPr>
      <w:r>
        <w:rPr/>
        <w:t>Write back the result transitions in place, zero the unused slots (optional; §6.4), and store the new count.</w:t>
      </w:r>
    </w:p>
    <w:p>
      <w:pPr>
        <w:pStyle w:val="BodyText"/>
        <w:numPr>
          <w:ilvl w:val="0"/>
          <w:numId w:val="8"/>
        </w:numPr>
        <w:jc w:val="both"/>
        <w:rPr/>
      </w:pPr>
      <w:r>
        <w:rPr/>
        <w:t xml:space="preserve">Optional counter: when material-removal tracking is enabled, the shader measures the column's solid extent before and after the merge and performs </w:t>
      </w:r>
      <w:r>
        <w:rPr>
          <w:rFonts w:ascii="Liberation Mono" w:hAnsi="Liberation Mono"/>
        </w:rPr>
        <w:t>atomicAdd</w:t>
      </w:r>
      <w:r>
        <w:rPr/>
        <w:t xml:space="preserve">(removed[segment], </w:t>
      </w:r>
      <w:r>
        <w:rPr>
          <w:rFonts w:ascii="Liberation Mono" w:hAnsi="Liberation Mono"/>
        </w:rPr>
        <w:t>oldSolid</w:t>
      </w:r>
      <w:r>
        <w:rPr/>
        <w:t xml:space="preserve"> - </w:t>
      </w:r>
      <w:r>
        <w:rPr>
          <w:rFonts w:ascii="Liberation Mono" w:hAnsi="Liberation Mono"/>
        </w:rPr>
        <w:t>newSolid</w:t>
      </w:r>
      <w:r>
        <w:rPr/>
        <w:t>). This gives the volume removed by each segment, which the optimization loop of §1.1 uses to score candidate toolpaths.</w:t>
      </w:r>
    </w:p>
    <w:p>
      <w:pPr>
        <w:pStyle w:val="FirstParagraph"/>
        <w:jc w:val="both"/>
        <w:rPr/>
      </w:pPr>
      <w:r>
        <w:rPr/>
        <w:drawing>
          <wp:inline distT="0" distB="0" distL="0" distR="0">
            <wp:extent cx="5334000" cy="593788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334000" cy="5937885"/>
                    </a:xfrm>
                    <a:prstGeom prst="rect">
                      <a:avLst/>
                    </a:prstGeom>
                    <a:noFill/>
                  </pic:spPr>
                </pic:pic>
              </a:graphicData>
            </a:graphic>
          </wp:inline>
        </w:drawing>
      </w:r>
    </w:p>
    <w:p>
      <w:pPr>
        <w:pStyle w:val="CaptionedFigure"/>
        <w:rPr>
          <w:i w:val="false"/>
          <w:iCs w:val="false"/>
        </w:rPr>
      </w:pPr>
      <w:r>
        <w:rPr>
          <w:b/>
          <w:bCs/>
          <w:i w:val="false"/>
          <w:iCs w:val="false"/>
        </w:rPr>
        <w:t>Fig. 6</w:t>
      </w:r>
      <w:r>
        <w:rPr>
          <w:i w:val="false"/>
          <w:iCs w:val="false"/>
        </w:rPr>
        <w:t xml:space="preserve"> Per-thread control flow of </w:t>
      </w:r>
      <w:r>
        <w:rPr>
          <w:rFonts w:ascii="Liberation Mono" w:hAnsi="Liberation Mono"/>
          <w:i w:val="false"/>
          <w:iCs w:val="false"/>
        </w:rPr>
        <w:t>subtract_swept</w:t>
      </w:r>
      <w:r>
        <w:rPr>
          <w:i w:val="false"/>
          <w:iCs w:val="false"/>
        </w:rPr>
        <w:t>.comp, with the step numbers of §4.4. One GPU thread handles one column, and every column of the swept bounding box runs this independently. The two exits leave without writing: the first on the workgroup rounding overhang past the edge of the workpiece (§4.3), the second on the tube-pruning early-out of step 5 (§3.6), which is what removes the write-back of step 7 for columns the tool never touches</w:t>
      </w:r>
    </w:p>
    <w:p>
      <w:pPr>
        <w:pStyle w:val="BodyText"/>
        <w:jc w:val="both"/>
        <w:rPr/>
      </w:pPr>
      <w:r>
        <w:rPr/>
        <w:t xml:space="preserve">Two design points matter for performance. The merge is in place: the column is read once and written once, with no round-trip through an intermediate swept solid, and the envelope is built from the tool column's lowest and highest transitions rather than from a materialized volume. The write of step 7 covers the whole </w:t>
      </w:r>
      <w:r>
        <w:rPr>
          <w:rFonts w:ascii="Liberation Mono" w:hAnsi="Liberation Mono"/>
        </w:rPr>
        <w:t>MAX_TRANSITIONS</w:t>
      </w:r>
      <w:r>
        <w:rPr/>
        <w:t xml:space="preserve"> stride, which is what makes it the expensive part of the thread and why removing it matters twice over: the early-out of step 5, the only change that §3.6 makes to the shader, skips it entirely for columns the tool never touches, and dropping the trailing zero-fill (§6.4) shortens it for the columns it does touch. The optional counter of step 8 is gated by a uniform and off in every run reported here, so neither the atomic nor the two extra column scans that feed it appear in the timings.</w:t>
      </w:r>
      <w:bookmarkEnd w:id="17"/>
    </w:p>
    <w:p>
      <w:pPr>
        <w:pStyle w:val="Heading3"/>
        <w:jc w:val="both"/>
        <w:rPr>
          <w:color w:val="auto"/>
        </w:rPr>
      </w:pPr>
      <w:bookmarkStart w:id="18" w:name="tool-geometry"/>
      <w:r>
        <w:rPr>
          <w:color w:val="auto"/>
        </w:rPr>
        <w:t>4.5 Tool geometry</w:t>
      </w:r>
    </w:p>
    <w:p>
      <w:pPr>
        <w:pStyle w:val="FirstParagraph"/>
        <w:jc w:val="both"/>
        <w:rPr/>
      </w:pPr>
      <w:r>
        <w:rPr/>
        <w:t xml:space="preserve">A ball-end mill is not a sphere but a cylinder with a hemispherical tip, and its shank rises above the stock: in normal 3-axis milling it is out of the workpiece at every instant, so the shank top, though a genuine transition in the tool's representation, always falls outside the stock's [0, </w:t>
      </w:r>
      <w:r>
        <w:rPr>
          <w:rFonts w:ascii="Liberation Mono" w:hAnsi="Liberation Mono"/>
        </w:rPr>
        <w:t>z1</w:t>
      </w:r>
      <w:r>
        <w:rPr/>
        <w:t>) range and is dropped when the removed interval is clamped to that range (§3.3, §4.4).</w:t>
      </w:r>
    </w:p>
    <w:p>
      <w:pPr>
        <w:pStyle w:val="BodyText"/>
        <w:jc w:val="both"/>
        <w:rPr/>
      </w:pPr>
      <w:r>
        <w:rPr/>
        <w:t xml:space="preserve">The method is exact for the tools of §3.3, whose columns are single Z-intervals. It is worth being precise about where the approximation would arise. At a single tool position, for a convex-in-Z tool, each column has exactly two transitions, so representing it as [bottom, top] loses nothing: a per-step stamper merging the tool's full transition list reads exactly those two values and no others. The reduction is real only because [zbMin, ztMax] is the union over all the sub-positions of a segment, and convexity in Z is what guarantees that union is again a single interval. </w:t>
      </w:r>
    </w:p>
    <w:p>
      <w:pPr>
        <w:pStyle w:val="BodyText"/>
        <w:jc w:val="both"/>
        <w:rPr/>
      </w:pPr>
      <w:r>
        <w:rPr/>
        <w:t>For a tool that is not convex in Z the guarantee fails, and the envelope treats any internal gap along Z as solid. The error is one-sided: an over-removal equal to the volume of those gaps swept along the path. It is a property of the tool rather than of the toolpath: a tool with no internal gaps is exact; one with them is wrong by the same amount on every segment that engages the material. A per-step stamper does not share this artefact, since it never forms the union, though it differs from the swept result for the separate reason given in §4.6. Undercut geometries are outside the scope of a single-axis dexel field, since a column stores only Z-transitions.</w:t>
      </w:r>
      <w:bookmarkEnd w:id="18"/>
    </w:p>
    <w:p>
      <w:pPr>
        <w:pStyle w:val="Heading3"/>
        <w:rPr>
          <w:color w:val="auto"/>
        </w:rPr>
      </w:pPr>
      <w:bookmarkStart w:id="19" w:name="X075e798c79a7f5efd0be646bbf5ceada333de50"/>
      <w:r>
        <w:rPr>
          <w:color w:val="auto"/>
        </w:rPr>
        <w:t>4.6 Correctness: byte-identity, exactness, and the gap to the continuum</w:t>
      </w:r>
    </w:p>
    <w:p>
      <w:pPr>
        <w:pStyle w:val="BodyText"/>
        <w:jc w:val="both"/>
        <w:rPr/>
      </w:pPr>
      <w:bookmarkEnd w:id="13"/>
      <w:bookmarkEnd w:id="19"/>
      <w:r>
        <w:rPr/>
        <w:t>Three claims hold, of decreasing strength, and it is worth separating them.</w:t>
      </w:r>
    </w:p>
    <w:p>
      <w:pPr>
        <w:pStyle w:val="BodyText"/>
        <w:bidi w:val="0"/>
        <w:ind w:hanging="0" w:left="0" w:right="0"/>
        <w:jc w:val="both"/>
        <w:rPr/>
      </w:pPr>
      <w:r>
        <w:rPr/>
        <w:t>(i) The swept optimizations are byte-identical to one another. The external-buffer (S1), fused (S2) and tube-pruned (S3) kernels produce byte-identical carved output, since pruning only skips writes to columns it leaves unchanged. This is the load-bearing correctness claim: it shows that the fusion and the pruning change nothing geometric. We verify it by a direct diff of the saved .bin files (§5.3).</w:t>
      </w:r>
    </w:p>
    <w:p>
      <w:pPr>
        <w:pStyle w:val="BodyText"/>
        <w:bidi w:val="0"/>
        <w:ind w:hanging="0" w:left="0" w:right="0"/>
        <w:jc w:val="both"/>
        <w:rPr/>
      </w:pPr>
      <w:r>
        <w:rPr/>
        <w:t>(ii) The envelope is exact with respect to stamping on the same sample grid. Set difference distributes over unions and is order-independent, so A\(B₁∪…∪Bₙ) = (…((A\B₁)\B₂)…\Bₙ), and the swept volume is the union of the tool at the sub-positions sampled along the segment. Those are taken at Chebyshev step K = max(|Δx|,|Δy|,|Δz|), the L∞ length, giving tr = start+round(k*Δ/K) for k = 0…K, consecutive positions differing by at most one voxel per axis. Collapsing the tool column to a single interval therefore loses nothing: at each sub-position a convex-in-Z column already has exactly two transitions (§4.5), and their union over the segment is again one interval. The argument is verified directly: stamping the tool's full transition list at exactly those positions produces output byte-identical to the envelope, on an axis-aligned and on a 45° segment.</w:t>
      </w:r>
    </w:p>
    <w:p>
      <w:pPr>
        <w:pStyle w:val="BodyText"/>
        <w:bidi w:val="0"/>
        <w:ind w:hanging="0" w:left="0" w:right="0"/>
        <w:jc w:val="both"/>
        <w:rPr/>
      </w:pPr>
      <w:r>
        <w:rPr/>
        <w:t>(iii) Against the continuous sweep the envelope is exact on axis-aligned moves and under-removes slightly on diagonals. The reference here is analytic, not a finer stamper: for a linear segment the squared lateral distance from a column to the tool axis is a quadratic in the interpolation parameter, so the deepest coverage of every column has a closed form, and the exactly swept solid can be computed without sampling. Measured against it, on a 600-voxel segment, the kernel removes 248,432 voxels against 248,432 exact on the axis-aligned move, a gap of zero, and 349,574 against 349,855 at 45°, an under-removal of 0.080 %. The axis-aligned result is structural rather than fortuitous: there the integer sub-steps fall on every position the continuum's deepest coverage requires. On a diagonal the true closest approach lies at a fractional centre between two integer samples, so the column is cut a fraction of a voxel shallower. The gap is a discretisation artefact and vanishes with the voxel: on the same segment it is 0.450 % at twice the voxel size, 0.080 % at the native one, 0.027 % at half and 0.010 % at a third. The trend is computed on an emulation of the kernel that is byte-exact against the GPU at the native resolution: the comparison cannot be repeated on hardware at other resolutions, because the tool must be re-voxelised at each one, and the resulting change in its discretised profile is two orders of magnitude larger than the sampling term it would be measuring.</w:t>
      </w:r>
    </w:p>
    <w:p>
      <w:pPr>
        <w:pStyle w:val="BodyText"/>
        <w:bidi w:val="0"/>
        <w:ind w:hanging="0" w:left="0" w:right="0"/>
        <w:jc w:val="both"/>
        <w:rPr/>
      </w:pPr>
      <w:r>
        <w:rPr/>
        <w:t>Two quantities must be kept out of this figure. The first is the voxelised tool itself, which differs from the ideal hemisphere it approximates by an amount that depends on the tool file and its radius, about 1.4% for the tool used here; that is a property of the tool model, it cancels in any comparison between two carvers using the same tool, and it is not an algorithm error, so the reference above holds the depth profile fixed and compares only the sampling in t. The second is the --legacy stamper, which is a coarser reference on a different lattice: it advances by Euclidean arc length and truncates towards zero, where the swept path rounds to nearest on the Chebyshev grid. That is why the two are not byte-identical at any step we tested, and why a stray comparison between them mixes lattice geometry with the sampling gap.</w:t>
      </w:r>
    </w:p>
    <w:p>
      <w:pPr>
        <w:pStyle w:val="BodyText"/>
        <w:bidi w:val="0"/>
        <w:ind w:hanging="0" w:left="0" w:right="0"/>
        <w:jc w:val="both"/>
        <w:rPr/>
      </w:pPr>
      <w:r>
        <w:rPr/>
        <w:t>One implementation artefact in that path has also been corrected: its drive loop advanced before stamping and so skipped each segment's first sample. The fix stamps the start once, up front, and changes no timing figure. We therefore use S0 as a timing and behavioural reference, not a geometric ground truth.</w:t>
      </w:r>
    </w:p>
    <w:p>
      <w:pPr>
        <w:pStyle w:val="BodyText"/>
        <w:bidi w:val="0"/>
        <w:ind w:hanging="0" w:left="0" w:right="0"/>
        <w:jc w:val="both"/>
        <w:rPr/>
      </w:pPr>
      <w:r>
        <w:rPr/>
        <w:t>All volume comparisons use one invariant, the residual solid volume, the sum over all columns and their solid intervals of (top - bottom), a deterministic and render-independent quantity; the byte comparisons are direct diffs of the saved files.</w:t>
      </w:r>
    </w:p>
    <w:p>
      <w:pPr>
        <w:pStyle w:val="Heading2"/>
        <w:jc w:val="both"/>
        <w:rPr>
          <w:color w:val="auto"/>
        </w:rPr>
      </w:pPr>
      <w:r>
        <w:rPr>
          <w:color w:val="auto"/>
        </w:rPr>
        <w:t xml:space="preserve">5. </w:t>
      </w:r>
      <w:bookmarkStart w:id="20" w:name="numerical-experiments"/>
      <w:r>
        <w:rPr>
          <w:color w:val="auto"/>
        </w:rPr>
        <w:t>Numerical experiments</w:t>
      </w:r>
    </w:p>
    <w:p>
      <w:pPr>
        <w:pStyle w:val="Heading3"/>
        <w:jc w:val="both"/>
        <w:rPr>
          <w:color w:val="auto"/>
        </w:rPr>
      </w:pPr>
      <w:bookmarkStart w:id="21" w:name="hardware-software-and-the-ab-toggle"/>
      <w:r>
        <w:rPr>
          <w:color w:val="auto"/>
        </w:rPr>
        <w:t>5.1 Hardware, software, and the A/B toggle</w:t>
      </w:r>
    </w:p>
    <w:p>
      <w:pPr>
        <w:pStyle w:val="FirstParagraph"/>
        <w:jc w:val="both"/>
        <w:rPr/>
      </w:pPr>
      <w:r>
        <w:rPr/>
        <w:t xml:space="preserve">Measurements are on an Intel Lunar Lake integrated GPU (Mesa iris driver), OpenGL 4.6 compute, which autocam reaches via an EGL/Wayland context. Every level runs from the same binary and is selected at runtime, which is essential for a fair A/B: --legacy gives S0, --legacy-external-buffer gives S1, and the fused kernel gives S2 with </w:t>
      </w:r>
      <w:r>
        <w:rPr>
          <w:rFonts w:ascii="Liberation Mono" w:hAnsi="Liberation Mono"/>
        </w:rPr>
        <w:t>AUTOCAM_SWEPT_SKIP</w:t>
      </w:r>
      <w:r>
        <w:rPr/>
        <w:t>=0 or S3 with =1, the default. All runs are headless (--no-view), and timings are the interleaved mean-of-N described in §5.4.</w:t>
      </w:r>
      <w:bookmarkEnd w:id="21"/>
    </w:p>
    <w:p>
      <w:pPr>
        <w:pStyle w:val="Heading3"/>
        <w:jc w:val="both"/>
        <w:rPr>
          <w:color w:val="auto"/>
        </w:rPr>
      </w:pPr>
      <w:bookmarkStart w:id="22" w:name="benchmarks-and-the-g-code-generator"/>
      <w:r>
        <w:rPr>
          <w:color w:val="auto"/>
        </w:rPr>
        <w:t>5.2 Benchmarks and the G-code generator</w:t>
      </w:r>
    </w:p>
    <w:p>
      <w:pPr>
        <w:pStyle w:val="FirstParagraph"/>
        <w:jc w:val="both"/>
        <w:rPr/>
      </w:pPr>
      <w:r>
        <w:rPr/>
        <w:t xml:space="preserve">The optimization targets segments whose length L exceeds the tool footprint F, and its effect depends on the orientation of those segments, so the benchmark programs are synthetic: each isolates one point in that space rather than averaging over the mixture a production part would contain. Two ball-end tool models are used, distinguished by their footprint in voxels, one 256 wide and one 32 wide. With the wide tool a segment of a few hundred voxels is comparable to the footprint, so the dispatch bounding box already coincides with the swept band; with the narrow one the same geometry gives L &gt;&gt; F. All programs run on the same stock, a prismatic block of 1000×1000×500 voxels, which we refer to as the reference stock throughout. Everything below is expressed in voxels, and deliberately so: the cost of a carve is set by the number of columns touched and by the ratio L/F, not by the physical size of the part, so a millimetre scale would add a constant without changing </w:t>
      </w:r>
      <w:r>
        <w:rPr>
          <w:b w:val="false"/>
          <w:bCs w:val="false"/>
        </w:rPr>
        <w:t>any of the comparisons. The tools are likewise described by their footprint in voxels.</w:t>
      </w:r>
    </w:p>
    <w:p>
      <w:pPr>
        <w:pStyle w:val="BodyText"/>
        <w:numPr>
          <w:ilvl w:val="0"/>
          <w:numId w:val="1"/>
        </w:numPr>
        <w:jc w:val="both"/>
        <w:rPr/>
      </w:pPr>
      <w:r>
        <w:rPr>
          <w:b w:val="false"/>
          <w:bCs w:val="false"/>
        </w:rPr>
        <w:t>Axis-aligned perimeter (</w:t>
      </w:r>
      <w:r>
        <w:rPr>
          <w:rStyle w:val="VerbatimChar"/>
          <w:b w:val="false"/>
          <w:bCs w:val="false"/>
        </w:rPr>
        <w:t>square_600</w:t>
      </w:r>
      <w:r>
        <w:rPr>
          <w:b w:val="false"/>
          <w:bCs w:val="false"/>
        </w:rPr>
        <w:t>), with the 256-voxel tool (</w:t>
      </w:r>
      <w:r>
        <w:rPr>
          <w:rStyle w:val="VerbatimChar"/>
          <w:b w:val="false"/>
          <w:bCs w:val="false"/>
        </w:rPr>
        <w:t>mill_10</w:t>
      </w:r>
      <w:r>
        <w:rPr>
          <w:b w:val="false"/>
          <w:bCs w:val="false"/>
        </w:rPr>
        <w:t>): a closed square perimeter of side 600 voxels, cut along the axes. This is the control, chosen because its cutting segments are axis-aligned and short relative to the footprint, so per-column pruning has little off-band material to skip. The same perimeter cut with the 32-voxel tool (</w:t>
      </w:r>
      <w:r>
        <w:rPr>
          <w:rStyle w:val="VerbatimChar"/>
          <w:b w:val="false"/>
          <w:bCs w:val="false"/>
        </w:rPr>
        <w:t>mill_3</w:t>
      </w:r>
      <w:r>
        <w:rPr>
          <w:b w:val="false"/>
          <w:bCs w:val="false"/>
        </w:rPr>
        <w:t xml:space="preserve">) is </w:t>
      </w:r>
      <w:r>
        <w:rPr>
          <w:rStyle w:val="VerbatimChar"/>
          <w:b w:val="false"/>
          <w:bCs w:val="false"/>
        </w:rPr>
        <w:t>contour</w:t>
      </w:r>
      <w:r>
        <w:rPr>
          <w:b w:val="false"/>
          <w:bCs w:val="false"/>
        </w:rPr>
        <w:t xml:space="preserve"> in Table 3; the pair isolates the L/F ratio on one fixed geometry.</w:t>
      </w:r>
    </w:p>
    <w:p>
      <w:pPr>
        <w:pStyle w:val="BodyText"/>
        <w:numPr>
          <w:ilvl w:val="0"/>
          <w:numId w:val="1"/>
        </w:numPr>
        <w:jc w:val="both"/>
        <w:rPr/>
      </w:pPr>
      <w:r>
        <w:rPr>
          <w:b w:val="false"/>
          <w:bCs w:val="false"/>
        </w:rPr>
        <w:t>Diagonal cuts (</w:t>
      </w:r>
      <w:r>
        <w:rPr>
          <w:rStyle w:val="VerbatimChar"/>
          <w:b w:val="false"/>
          <w:bCs w:val="false"/>
        </w:rPr>
        <w:t>diag_cut</w:t>
      </w:r>
      <w:r>
        <w:rPr>
          <w:b w:val="false"/>
          <w:bCs w:val="false"/>
        </w:rPr>
        <w:t>) and air-heavy travel (</w:t>
      </w:r>
      <w:r>
        <w:rPr>
          <w:rStyle w:val="VerbatimChar"/>
          <w:b w:val="false"/>
          <w:bCs w:val="false"/>
        </w:rPr>
        <w:t>air_moves</w:t>
      </w:r>
      <w:r>
        <w:rPr>
          <w:b w:val="false"/>
          <w:bCs w:val="false"/>
        </w:rPr>
        <w:t xml:space="preserve">), with the 32-voxel tool: two micro-benchmarks that isolate the two effects. </w:t>
      </w:r>
      <w:r>
        <w:rPr>
          <w:rStyle w:val="VerbatimChar"/>
          <w:b w:val="false"/>
          <w:bCs w:val="false"/>
        </w:rPr>
        <w:t>diag_cut</w:t>
      </w:r>
      <w:r>
        <w:rPr>
          <w:b w:val="false"/>
          <w:bCs w:val="false"/>
        </w:rPr>
        <w:t xml:space="preserve"> is a boustrophedon of long diagonal cuts, where the endpoint bounding box (≈ L²/2) dwarfs the swept band (≈ L*F) and per-column pruning skips the off-band columns. </w:t>
      </w:r>
      <w:r>
        <w:rPr>
          <w:rStyle w:val="VerbatimChar"/>
          <w:b w:val="false"/>
          <w:bCs w:val="false"/>
        </w:rPr>
        <w:t>air_moves</w:t>
      </w:r>
      <w:r>
        <w:rPr>
          <w:b w:val="false"/>
          <w:bCs w:val="false"/>
        </w:rPr>
        <w:t xml:space="preserve"> is an air-heavy program (short diagonal cuts reached by long diagonal in-air rapids), where the whole dispatch of each rapid is skipped. The mixed 45° raster that combines cutting and air travel in one program is </w:t>
      </w:r>
      <w:r>
        <w:rPr>
          <w:rStyle w:val="VerbatimChar"/>
          <w:b w:val="false"/>
          <w:bCs w:val="false"/>
        </w:rPr>
        <w:t>raster45</w:t>
      </w:r>
      <w:r>
        <w:rPr>
          <w:b w:val="false"/>
          <w:bCs w:val="false"/>
        </w:rPr>
        <w:t xml:space="preserve"> in Table 3 (§6.1); its S2→S3 gain there is the same lever measured on the same diagonal geometry, not independent evidence.</w:t>
      </w:r>
    </w:p>
    <w:p>
      <w:pPr>
        <w:pStyle w:val="BodyText"/>
        <w:jc w:val="both"/>
        <w:rPr/>
      </w:pPr>
      <w:bookmarkEnd w:id="22"/>
      <w:r>
        <w:rPr/>
        <w:t xml:space="preserve">The carved result of every program is rendered in Appendix B. The diagonal programs are emitted by a small parametric generator that walks lanes in a rotated basis (cutting direction </w:t>
      </w:r>
      <w:r>
        <w:rPr>
          <w:b/>
          <w:bCs/>
        </w:rPr>
        <w:t>û</w:t>
      </w:r>
      <w:r>
        <w:rPr/>
        <w:t xml:space="preserve"> = [1/√2, 1/√2], step direction </w:t>
      </w:r>
      <w:r>
        <w:rPr>
          <w:b/>
          <w:bCs/>
        </w:rPr>
        <w:t>v̂</w:t>
      </w:r>
      <w:r>
        <w:rPr/>
        <w:t xml:space="preserve"> = [1/√2, -1/√2]), converting each [u, v] to [x, y]; every generated file records its exact regeneration command in its header. The programs, tool models and benchmark scripts are available with the code (see the data availability statement).</w:t>
      </w:r>
    </w:p>
    <w:p>
      <w:pPr>
        <w:pStyle w:val="Heading3"/>
        <w:jc w:val="both"/>
        <w:rPr>
          <w:color w:val="000000"/>
        </w:rPr>
      </w:pPr>
      <w:bookmarkStart w:id="23" w:name="validation"/>
      <w:r>
        <w:rPr>
          <w:color w:val="000000"/>
        </w:rPr>
        <w:t>5.3 Validation</w:t>
      </w:r>
    </w:p>
    <w:p>
      <w:pPr>
        <w:pStyle w:val="BodyText"/>
        <w:widowControl/>
        <w:suppressAutoHyphens w:val="true"/>
        <w:bidi w:val="0"/>
        <w:jc w:val="both"/>
        <w:rPr/>
      </w:pPr>
      <w:bookmarkEnd w:id="23"/>
      <w:r>
        <w:rPr>
          <w:rStyle w:val="SourceText"/>
          <w:rFonts w:eastAsia="Arial" w:cs="" w:cstheme="minorBidi" w:eastAsiaTheme="minorHAnsi"/>
          <w:color w:val="auto"/>
          <w:kern w:val="0"/>
          <w:sz w:val="24"/>
          <w:szCs w:val="24"/>
          <w:lang w:val="en-US" w:eastAsia="en-US" w:bidi="ar-SA"/>
        </w:rPr>
        <w:t>For every configuration we save the carved .bin. Across the three swept levels - external-buffer S1, fused S2, pruned S3, the file is byte-identical, which is what certifies that the fusion and the pruning leave the geometry untouched; the comparison is a direct diff of the files. The stamper S0 is a coarser reference, not a ground truth: it is not byte-identical to the swept output at any step we tested (2, 1, 0.5, 0.25 voxels), because it samples a different lattice (§4.6). Against the analytic continuum reference of that section the swept result is exact on an axis-aligned segment and under-removes by 0.08 % on a 45° one. As a second, independent check, the residual solid volume of the carved result is recomputed offline by a pure-Python reader with no dependency on the GPU path, and agrees on both a perimeter program (281,165,072 voxels) and a star-shaped pocket (462,722,118). The latter is not one of the benchmark programs of §5.2; it is a concave pocket kept as a regression case.</w:t>
      </w:r>
    </w:p>
    <w:p>
      <w:pPr>
        <w:pStyle w:val="Heading3"/>
        <w:jc w:val="both"/>
        <w:rPr>
          <w:color w:val="000000"/>
        </w:rPr>
      </w:pPr>
      <w:bookmarkStart w:id="24" w:name="methodology"/>
      <w:r>
        <w:rPr>
          <w:color w:val="000000"/>
        </w:rPr>
        <w:t>5.4 Methodology</w:t>
      </w:r>
    </w:p>
    <w:p>
      <w:pPr>
        <w:pStyle w:val="BodyText"/>
        <w:jc w:val="both"/>
        <w:rPr/>
      </w:pPr>
      <w:bookmarkEnd w:id="20"/>
      <w:bookmarkEnd w:id="24"/>
      <w:r>
        <w:rPr>
          <w:b w:val="false"/>
          <w:bCs w:val="false"/>
        </w:rPr>
        <w:t xml:space="preserve">Each configuration is run eleven times; the first run is discarded as compute-pipeline warm-up and the arithmetic mean of the remaining ten net-carving times is reported (the GPU timings fluctuate run-to-run, so the mean is more representative than a single minimum). Crucially, the modes are interleaved per round (one run of each mode per round) rather than measured in separate batches, so that GPU clock and thermal drift cancel in the ratio: without this, measuring the modes in separate batches made the never-taken branch of the axis-aligned control appear about 30 % slower. Timing uses the simulator's internal net-carving timer, a </w:t>
      </w:r>
      <w:r>
        <w:rPr>
          <w:rStyle w:val="SourceText"/>
          <w:rFonts w:eastAsia="Arial" w:cs="" w:cstheme="minorBidi" w:eastAsiaTheme="minorHAnsi"/>
          <w:color w:val="auto"/>
          <w:kern w:val="0"/>
          <w:sz w:val="24"/>
          <w:szCs w:val="24"/>
          <w:lang w:val="en-US" w:eastAsia="en-US" w:bidi="ar-SA"/>
        </w:rPr>
        <w:t>glFinish</w:t>
      </w:r>
      <w:r>
        <w:rPr>
          <w:b w:val="false"/>
          <w:bCs w:val="false"/>
        </w:rPr>
        <w:t xml:space="preserve"> around the per-segment loop, excluding read-back.</w:t>
      </w:r>
    </w:p>
    <w:p>
      <w:pPr>
        <w:pStyle w:val="BodyText"/>
        <w:jc w:val="both"/>
        <w:rPr/>
      </w:pPr>
      <w:r>
        <w:rPr/>
        <w:t>To turn these per-campaign means into publishable figures with error bars, the entire suite was run as ten independent campaigns on an otherwise idle machine (load average below one), and every number reported in §6 is the mean over the ten campaigns, quoted with the population standard deviation across them - so each figure is a mean of ten × ten = one hundred carves, and the stated spread is run-to-run reproducibility rather than within-run jitter. Across the ten campaigns the coefficient of variation of every reported mean stays below about six percent. Ratios are formed within each campaign and then averaged, so they do not exactly equal the ratio of the rounded means shown in the tables.</w:t>
      </w:r>
    </w:p>
    <w:p>
      <w:pPr>
        <w:pStyle w:val="BodyText"/>
        <w:jc w:val="both"/>
        <w:rPr/>
      </w:pPr>
      <w:r>
        <w:rPr/>
        <w:t xml:space="preserve">One measurement effect must be kept in view when reading the absolute times. The net time of a given swept level depends on the mix of modes interleaved with it, not only on the kernel: the same S2 kernel on </w:t>
      </w:r>
      <w:r>
        <w:rPr>
          <w:rFonts w:ascii="Liberation Mono" w:hAnsi="Liberation Mono"/>
        </w:rPr>
        <w:t>square_600</w:t>
      </w:r>
      <w:r>
        <w:rPr/>
        <w:t xml:space="preserve"> reads about 17.6 ms inside the four-level sweep of Table 2, where each round is dominated by the roughly 520 ms legacy stamp that lets the integrated GPU recover between swept runs, but about 32 ms when only S2 and S3 are interleaved back-to-back and the GPU stays in a hotter clock state. The cross-campaign spread of each of those figures is under two percent, so this is a clock/thermal (DVFS) effect of the integrated GPU, not load noise. Ratios cancel it; we therefore state every speed claim as a ratio and compare absolute times only within a single table. The pruning ratio on the axis-aligned control is additionally reported from a standalone high-N run (thirty measurements per campaign) that isolates it from that recovery.</w:t>
      </w:r>
    </w:p>
    <w:p>
      <w:pPr>
        <w:pStyle w:val="Heading2"/>
        <w:jc w:val="both"/>
        <w:rPr>
          <w:color w:val="000000"/>
        </w:rPr>
      </w:pPr>
      <w:r>
        <w:rPr>
          <w:color w:val="000000"/>
        </w:rPr>
        <w:t xml:space="preserve">6. </w:t>
      </w:r>
      <w:bookmarkStart w:id="25" w:name="results"/>
      <w:r>
        <w:rPr>
          <w:color w:val="000000"/>
        </w:rPr>
        <w:t>Results</w:t>
      </w:r>
    </w:p>
    <w:p>
      <w:pPr>
        <w:pStyle w:val="BodyText"/>
        <w:jc w:val="both"/>
        <w:rPr>
          <w:b w:val="false"/>
          <w:bCs w:val="false"/>
        </w:rPr>
      </w:pPr>
      <w:r>
        <w:rPr>
          <w:b w:val="false"/>
          <w:bCs w:val="false"/>
        </w:rPr>
        <w:t>The four levels of §1.3 are measured in two groups. Table 1 isolates the pruning lever, S2→S3, on the two generated diagonal stress programs; the axis-aligned control spans that L/F regime as the four-level ablation of Table 2. Table 3 then measures all four levels on the same six machining workloads, which separates what the literature already delivers, the per-move swept formulation (S0→S1), from this work's fusion of the subtraction (S1→S2) and its pruning (S2→S3); that matrix is the primary comparison. Table 2 is the four-level end-to-end ablation on the axis-aligned control, from the naive stamper (S0) to this work's pruned kernel (S3). The memory side is consolidated in §6.3 and the sparse tiled working set in §6.2.</w:t>
      </w:r>
    </w:p>
    <w:p>
      <w:pPr>
        <w:pStyle w:val="CaptionedFigure"/>
        <w:rPr/>
      </w:pPr>
      <w:r>
        <w:rPr>
          <w:rStyle w:val="Strong"/>
          <w:rFonts w:eastAsia="Arial" w:cs="" w:cstheme="minorBidi" w:eastAsiaTheme="minorHAnsi"/>
          <w:b/>
          <w:bCs/>
          <w:color w:val="auto"/>
          <w:kern w:val="0"/>
          <w:sz w:val="22"/>
          <w:szCs w:val="22"/>
          <w:lang w:val="en-US" w:eastAsia="en-US" w:bidi="ar-SA"/>
        </w:rPr>
        <w:t>Table 1</w:t>
      </w:r>
      <w:r>
        <w:rPr>
          <w:rFonts w:eastAsia="Arial" w:cs="" w:cstheme="minorBidi" w:eastAsiaTheme="minorHAnsi"/>
          <w:b w:val="false"/>
          <w:bCs w:val="false"/>
          <w:color w:val="auto"/>
          <w:kern w:val="0"/>
          <w:sz w:val="22"/>
          <w:szCs w:val="22"/>
          <w:lang w:val="en-US" w:eastAsia="en-US" w:bidi="ar-SA"/>
        </w:rPr>
        <w:t xml:space="preserve"> Tube pruning on the two diagonal stress benchmarks: net carving time (ms), Intel Lunar Lake / iris, mean of ten interleaved campaigns ± population sd (§5.4), S2 and S3 byte-identical. "S2 swept" is the fused baseline of §3.3; "S3 +pruning" is this work. diag_cut isolates the per-column pruning of off-band columns; air_moves isolates the whole-dispatch air-skip of in-air rapids. The axis-aligned control, whose dispatch bounding box already nearly matches the swept band with the 256-voxel tool, is the four-level ablation of Table 2; with the 32-voxel tool the same per-column skip test costs at most ≈8 % on dense rasters (Table 3).</w:t>
      </w:r>
    </w:p>
    <w:tbl>
      <w:tblPr>
        <w:tblStyle w:val="Table"/>
        <w:tblW w:w="485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3838"/>
        <w:gridCol w:w="1674"/>
        <w:gridCol w:w="1801"/>
        <w:gridCol w:w="1442"/>
      </w:tblGrid>
      <w:tr>
        <w:trPr>
          <w:tblHeader w:val="true"/>
        </w:trPr>
        <w:tc>
          <w:tcPr>
            <w:tcW w:w="3838" w:type="dxa"/>
            <w:tcBorders>
              <w:bottom w:val="single" w:sz="6" w:space="0" w:color="000000"/>
            </w:tcBorders>
            <w:vAlign w:val="bottom"/>
          </w:tcPr>
          <w:p>
            <w:pPr>
              <w:pStyle w:val="TableHeading"/>
              <w:spacing w:before="0" w:after="200"/>
              <w:rPr/>
            </w:pPr>
            <w:r>
              <w:rPr/>
              <w:t>Benchmark (tool)</w:t>
            </w:r>
          </w:p>
        </w:tc>
        <w:tc>
          <w:tcPr>
            <w:tcW w:w="1674"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S2 swept (baseline)</w:t>
            </w:r>
          </w:p>
        </w:tc>
        <w:tc>
          <w:tcPr>
            <w:tcW w:w="1801"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S3 +pruning (ours)</w:t>
            </w:r>
          </w:p>
        </w:tc>
        <w:tc>
          <w:tcPr>
            <w:tcW w:w="1442"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S2→S3</w:t>
            </w:r>
          </w:p>
        </w:tc>
      </w:tr>
      <w:tr>
        <w:trPr/>
        <w:tc>
          <w:tcPr>
            <w:tcW w:w="3838" w:type="dxa"/>
            <w:tcBorders/>
          </w:tcPr>
          <w:p>
            <w:pPr>
              <w:pStyle w:val="TableContents"/>
              <w:spacing w:before="0" w:after="200"/>
              <w:rPr>
                <w:rFonts w:ascii="Arial" w:hAnsi="Arial" w:eastAsia="Arial" w:cs=""/>
                <w:kern w:val="0"/>
                <w:lang w:val="en-US" w:eastAsia="en-US" w:bidi="ar-SA"/>
              </w:rPr>
            </w:pPr>
            <w:r>
              <w:rPr>
                <w:rFonts w:ascii="Liberation Mono" w:hAnsi="Liberation Mono"/>
                <w:kern w:val="0"/>
                <w:sz w:val="22"/>
                <w:szCs w:val="22"/>
                <w:lang w:val="en-US" w:eastAsia="en-US" w:bidi="ar-SA"/>
              </w:rPr>
              <w:t>diag_cut</w:t>
            </w:r>
            <w:r>
              <w:rPr>
                <w:rFonts w:eastAsia="Arial" w:cs=""/>
                <w:kern w:val="0"/>
                <w:sz w:val="22"/>
                <w:szCs w:val="22"/>
                <w:lang w:val="en-US" w:eastAsia="en-US" w:bidi="ar-SA"/>
              </w:rPr>
              <w:t xml:space="preserve"> (</w:t>
            </w:r>
            <w:r>
              <w:rPr>
                <w:rFonts w:ascii="Liberation Mono" w:hAnsi="Liberation Mono"/>
                <w:kern w:val="0"/>
                <w:sz w:val="22"/>
                <w:szCs w:val="22"/>
                <w:lang w:val="en-US" w:eastAsia="en-US" w:bidi="ar-SA"/>
              </w:rPr>
              <w:t>mill_3</w:t>
            </w:r>
            <w:r>
              <w:rPr>
                <w:rFonts w:eastAsia="Arial" w:cs=""/>
                <w:kern w:val="0"/>
                <w:sz w:val="22"/>
                <w:szCs w:val="22"/>
                <w:lang w:val="en-US" w:eastAsia="en-US" w:bidi="ar-SA"/>
              </w:rPr>
              <w:t>, diagonal cuts)</w:t>
            </w:r>
          </w:p>
        </w:tc>
        <w:tc>
          <w:tcPr>
            <w:tcW w:w="1674" w:type="dxa"/>
            <w:tcBorders/>
          </w:tcPr>
          <w:p>
            <w:pPr>
              <w:pStyle w:val="TableContents"/>
              <w:spacing w:before="0" w:after="200"/>
              <w:jc w:val="center"/>
              <w:rPr>
                <w:rFonts w:ascii="Arial" w:hAnsi="Arial" w:eastAsia="Arial" w:cs=""/>
                <w:kern w:val="0"/>
                <w:sz w:val="24"/>
                <w:szCs w:val="24"/>
                <w:lang w:val="en-US" w:eastAsia="en-US" w:bidi="ar-SA"/>
              </w:rPr>
            </w:pPr>
            <w:r>
              <w:rPr/>
              <w:t>32.8 ± 1.5</w:t>
            </w:r>
          </w:p>
        </w:tc>
        <w:tc>
          <w:tcPr>
            <w:tcW w:w="1801" w:type="dxa"/>
            <w:tcBorders/>
          </w:tcPr>
          <w:p>
            <w:pPr>
              <w:pStyle w:val="TableContents"/>
              <w:spacing w:before="0" w:after="200"/>
              <w:jc w:val="center"/>
              <w:rPr>
                <w:rFonts w:ascii="Arial" w:hAnsi="Arial" w:eastAsia="Arial" w:cs=""/>
                <w:kern w:val="0"/>
                <w:sz w:val="24"/>
                <w:szCs w:val="24"/>
                <w:lang w:val="en-US" w:eastAsia="en-US" w:bidi="ar-SA"/>
              </w:rPr>
            </w:pPr>
            <w:r>
              <w:rPr/>
              <w:t>10.1 ± 0.3</w:t>
            </w:r>
          </w:p>
        </w:tc>
        <w:tc>
          <w:tcPr>
            <w:tcW w:w="1442" w:type="dxa"/>
            <w:tcBorders/>
          </w:tcPr>
          <w:p>
            <w:pPr>
              <w:pStyle w:val="TableContents"/>
              <w:spacing w:before="0" w:after="200"/>
              <w:jc w:val="center"/>
              <w:rPr>
                <w:rFonts w:ascii="Arial" w:hAnsi="Arial" w:eastAsia="Arial" w:cs=""/>
                <w:kern w:val="0"/>
                <w:sz w:val="24"/>
                <w:szCs w:val="24"/>
                <w:lang w:val="en-US" w:eastAsia="en-US" w:bidi="ar-SA"/>
              </w:rPr>
            </w:pPr>
            <w:r>
              <w:rPr/>
              <w:t>3.23×</w:t>
            </w:r>
          </w:p>
        </w:tc>
      </w:tr>
      <w:tr>
        <w:trPr/>
        <w:tc>
          <w:tcPr>
            <w:tcW w:w="3838" w:type="dxa"/>
            <w:tcBorders/>
          </w:tcPr>
          <w:p>
            <w:pPr>
              <w:pStyle w:val="TableContents"/>
              <w:spacing w:before="0" w:after="200"/>
              <w:rPr>
                <w:rFonts w:ascii="Arial" w:hAnsi="Arial" w:eastAsia="Arial" w:cs=""/>
                <w:kern w:val="0"/>
                <w:lang w:val="en-US" w:eastAsia="en-US" w:bidi="ar-SA"/>
              </w:rPr>
            </w:pPr>
            <w:r>
              <w:rPr>
                <w:rFonts w:ascii="Liberation Mono" w:hAnsi="Liberation Mono"/>
                <w:kern w:val="0"/>
                <w:sz w:val="22"/>
                <w:szCs w:val="22"/>
                <w:lang w:val="en-US" w:eastAsia="en-US" w:bidi="ar-SA"/>
              </w:rPr>
              <w:t>air_moves</w:t>
            </w:r>
            <w:r>
              <w:rPr>
                <w:rFonts w:eastAsia="Arial" w:cs=""/>
                <w:kern w:val="0"/>
                <w:sz w:val="22"/>
                <w:szCs w:val="22"/>
                <w:lang w:val="en-US" w:eastAsia="en-US" w:bidi="ar-SA"/>
              </w:rPr>
              <w:t xml:space="preserve"> (</w:t>
            </w:r>
            <w:r>
              <w:rPr>
                <w:rFonts w:ascii="Liberation Mono" w:hAnsi="Liberation Mono"/>
                <w:kern w:val="0"/>
                <w:sz w:val="22"/>
                <w:szCs w:val="22"/>
                <w:lang w:val="en-US" w:eastAsia="en-US" w:bidi="ar-SA"/>
              </w:rPr>
              <w:t>mill_3</w:t>
            </w:r>
            <w:r>
              <w:rPr>
                <w:rFonts w:eastAsia="Arial" w:cs=""/>
                <w:kern w:val="0"/>
                <w:sz w:val="22"/>
                <w:szCs w:val="22"/>
                <w:lang w:val="en-US" w:eastAsia="en-US" w:bidi="ar-SA"/>
              </w:rPr>
              <w:t>, air-heavy)</w:t>
            </w:r>
          </w:p>
        </w:tc>
        <w:tc>
          <w:tcPr>
            <w:tcW w:w="1674" w:type="dxa"/>
            <w:tcBorders/>
          </w:tcPr>
          <w:p>
            <w:pPr>
              <w:pStyle w:val="TableContents"/>
              <w:spacing w:before="0" w:after="200"/>
              <w:jc w:val="center"/>
              <w:rPr>
                <w:rFonts w:ascii="Arial" w:hAnsi="Arial" w:eastAsia="Arial" w:cs=""/>
                <w:kern w:val="0"/>
                <w:sz w:val="24"/>
                <w:szCs w:val="24"/>
                <w:lang w:val="en-US" w:eastAsia="en-US" w:bidi="ar-SA"/>
              </w:rPr>
            </w:pPr>
            <w:r>
              <w:rPr/>
              <w:t>39.0 ± 1.9</w:t>
            </w:r>
          </w:p>
        </w:tc>
        <w:tc>
          <w:tcPr>
            <w:tcW w:w="1801" w:type="dxa"/>
            <w:tcBorders/>
          </w:tcPr>
          <w:p>
            <w:pPr>
              <w:pStyle w:val="TableContents"/>
              <w:spacing w:before="0" w:after="200"/>
              <w:jc w:val="center"/>
              <w:rPr>
                <w:rFonts w:ascii="Arial" w:hAnsi="Arial" w:eastAsia="Arial" w:cs=""/>
                <w:kern w:val="0"/>
                <w:sz w:val="24"/>
                <w:szCs w:val="24"/>
                <w:lang w:val="en-US" w:eastAsia="en-US" w:bidi="ar-SA"/>
              </w:rPr>
            </w:pPr>
            <w:r>
              <w:rPr/>
              <w:t>5.3 ± 0.4</w:t>
            </w:r>
          </w:p>
        </w:tc>
        <w:tc>
          <w:tcPr>
            <w:tcW w:w="1442" w:type="dxa"/>
            <w:tcBorders/>
          </w:tcPr>
          <w:p>
            <w:pPr>
              <w:pStyle w:val="TableContents"/>
              <w:spacing w:before="0" w:after="200"/>
              <w:jc w:val="center"/>
              <w:rPr>
                <w:rFonts w:ascii="Arial" w:hAnsi="Arial" w:eastAsia="Arial" w:cs=""/>
                <w:kern w:val="0"/>
                <w:sz w:val="24"/>
                <w:szCs w:val="24"/>
                <w:lang w:val="en-US" w:eastAsia="en-US" w:bidi="ar-SA"/>
              </w:rPr>
            </w:pPr>
            <w:r>
              <w:rPr/>
              <w:t>7.45×</w:t>
            </w:r>
          </w:p>
        </w:tc>
      </w:tr>
    </w:tbl>
    <w:p>
      <w:pPr>
        <w:pStyle w:val="BodyText"/>
        <w:jc w:val="both"/>
        <w:rPr/>
      </w:pPr>
      <w:r>
        <w:rPr/>
      </w:r>
    </w:p>
    <w:p>
      <w:pPr>
        <w:pStyle w:val="BodyText"/>
        <w:jc w:val="both"/>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31510" cy="2009775"/>
            <wp:effectExtent l="0" t="0" r="0" b="0"/>
            <wp:wrapSquare wrapText="larges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5731510" cy="2009775"/>
                    </a:xfrm>
                    <a:prstGeom prst="rect">
                      <a:avLst/>
                    </a:prstGeom>
                    <a:noFill/>
                  </pic:spPr>
                </pic:pic>
              </a:graphicData>
            </a:graphic>
          </wp:anchor>
        </w:drawing>
      </w:r>
    </w:p>
    <w:p>
      <w:pPr>
        <w:pStyle w:val="CaptionedFigure"/>
        <w:rPr/>
      </w:pPr>
      <w:r>
        <w:rPr>
          <w:rStyle w:val="Strong"/>
        </w:rPr>
        <w:t>Fig. 7</w:t>
      </w:r>
      <w:r>
        <w:rPr/>
        <w:t xml:space="preserve"> Tube pruning on the stress benchmarks, normalized to the fused S2 baseline; shorter is faster. Net carving time, Intel Lunar Lake / iris, mean of ten campaigns (§5.4), byte-identical output. S3 wins large on diagonal cutting (diag_cut) and in-air work (air_moves); the axis-aligned control (square_600) barely moves - 1.15× here (Table 2), because with the 256-voxel tool the dispatch bounding box already nearly matches the swept band. Mean of ten campaigns ± sd (§5.4)</w:t>
      </w:r>
    </w:p>
    <w:p>
      <w:pPr>
        <w:pStyle w:val="BodyText"/>
        <w:jc w:val="both"/>
        <w:rPr>
          <w:rStyle w:val="SourceText"/>
          <w:rFonts w:ascii="Arial" w:hAnsi="Arial"/>
        </w:rPr>
      </w:pPr>
      <w:r>
        <w:rPr>
          <w:rStyle w:val="SourceText"/>
          <w:b w:val="false"/>
          <w:bCs w:val="false"/>
        </w:rPr>
        <w:t>Table 2 gives the four-level end-to-end ablation on the axis-aligned control, from the naive stamper (S0) through the two established swept baselines (S1, S2) to this work's pruned kernel (S3), in net carving and in total wall time including read-back.</w:t>
      </w:r>
    </w:p>
    <w:p>
      <w:pPr>
        <w:pStyle w:val="CaptionedFigure"/>
        <w:rPr/>
      </w:pPr>
      <w:r>
        <w:rPr>
          <w:rStyle w:val="Strong"/>
        </w:rPr>
        <w:t>Table 2</w:t>
      </w:r>
      <w:r>
        <w:rPr/>
        <w:t xml:space="preserve"> Four-level ablation on the control (</w:t>
      </w:r>
      <w:r>
        <w:rPr>
          <w:rFonts w:ascii="Liberation Mono" w:hAnsi="Liberation Mono"/>
        </w:rPr>
        <w:t>square_600</w:t>
      </w:r>
      <w:r>
        <w:rPr/>
        <w:t xml:space="preserve">, </w:t>
      </w:r>
      <w:r>
        <w:rPr>
          <w:rFonts w:ascii="Liberation Mono" w:hAnsi="Liberation Mono"/>
        </w:rPr>
        <w:t>mill_10</w:t>
      </w:r>
      <w:r>
        <w:rPr/>
        <w:t>): net carving and total time including read-back, mean of ten interleaved campaigns ± population sd (§5.4). S1–S3 are byte-identical; S0 is a coarse, differently-sampled reference, not a geometric ground truth (§4.6). Overall S0→S3 is 34.2 ± 0.7× in net carving (17.1 ± 0.3× including read-back), and the fusion step S1→S2 is 1.54 ± 0.03×. Pruning on this axis-aligned control (S2→S3) is a modest 1.15 ± 0.02× as measured inside the sweep, rising to 1.25 ± 0.01× in a standalone high-N run (N = 30 per campaign) that removes the clock recovery the long S0 stage affords between swept runs (§5.4).</w:t>
      </w:r>
    </w:p>
    <w:tbl>
      <w:tblPr>
        <w:tblStyle w:val="Table"/>
        <w:tblW w:w="485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3501"/>
        <w:gridCol w:w="2626"/>
        <w:gridCol w:w="2628"/>
      </w:tblGrid>
      <w:tr>
        <w:trPr>
          <w:tblHeader w:val="true"/>
        </w:trPr>
        <w:tc>
          <w:tcPr>
            <w:tcW w:w="3501" w:type="dxa"/>
            <w:tcBorders>
              <w:bottom w:val="single" w:sz="6" w:space="0" w:color="000000"/>
            </w:tcBorders>
            <w:vAlign w:val="bottom"/>
          </w:tcPr>
          <w:p>
            <w:pPr>
              <w:pStyle w:val="TableHeading"/>
              <w:spacing w:before="0" w:after="200"/>
              <w:jc w:val="left"/>
              <w:rPr/>
            </w:pPr>
            <w:r>
              <w:rPr/>
              <w:t>Level</w:t>
            </w:r>
          </w:p>
        </w:tc>
        <w:tc>
          <w:tcPr>
            <w:tcW w:w="2626" w:type="dxa"/>
            <w:tcBorders>
              <w:bottom w:val="single" w:sz="6" w:space="0" w:color="000000"/>
            </w:tcBorders>
            <w:vAlign w:val="bottom"/>
          </w:tcPr>
          <w:p>
            <w:pPr>
              <w:pStyle w:val="TableHeading"/>
              <w:spacing w:before="0" w:after="200"/>
              <w:jc w:val="left"/>
              <w:rPr/>
            </w:pPr>
            <w:r>
              <w:rPr/>
              <w:t>Net carving (ms)</w:t>
            </w:r>
          </w:p>
        </w:tc>
        <w:tc>
          <w:tcPr>
            <w:tcW w:w="2628" w:type="dxa"/>
            <w:tcBorders>
              <w:bottom w:val="single" w:sz="6" w:space="0" w:color="000000"/>
            </w:tcBorders>
            <w:vAlign w:val="bottom"/>
          </w:tcPr>
          <w:p>
            <w:pPr>
              <w:pStyle w:val="TableHeading"/>
              <w:spacing w:before="0" w:after="200"/>
              <w:jc w:val="left"/>
              <w:rPr/>
            </w:pPr>
            <w:r>
              <w:rPr/>
              <w:t>Total incl. read-back (ms)</w:t>
            </w:r>
          </w:p>
        </w:tc>
      </w:tr>
      <w:tr>
        <w:trPr/>
        <w:tc>
          <w:tcPr>
            <w:tcW w:w="3501" w:type="dxa"/>
            <w:tcBorders/>
          </w:tcPr>
          <w:p>
            <w:pPr>
              <w:pStyle w:val="TableContents"/>
              <w:spacing w:before="0" w:after="200"/>
              <w:jc w:val="left"/>
              <w:rPr/>
            </w:pPr>
            <w:r>
              <w:rPr/>
              <w:t>S0 - per-step stamping [1]</w:t>
            </w:r>
          </w:p>
        </w:tc>
        <w:tc>
          <w:tcPr>
            <w:tcW w:w="2626" w:type="dxa"/>
            <w:tcBorders/>
          </w:tcPr>
          <w:p>
            <w:pPr>
              <w:pStyle w:val="TableContents"/>
              <w:spacing w:before="0" w:after="200"/>
              <w:jc w:val="center"/>
              <w:rPr/>
            </w:pPr>
            <w:r>
              <w:rPr/>
              <w:t>522.3 ± 2.6</w:t>
            </w:r>
          </w:p>
        </w:tc>
        <w:tc>
          <w:tcPr>
            <w:tcW w:w="2628" w:type="dxa"/>
            <w:tcBorders/>
          </w:tcPr>
          <w:p>
            <w:pPr>
              <w:pStyle w:val="TableContents"/>
              <w:spacing w:before="0" w:after="200"/>
              <w:jc w:val="center"/>
              <w:rPr/>
            </w:pPr>
            <w:r>
              <w:rPr/>
              <w:t>549.5 ± 2.0</w:t>
            </w:r>
          </w:p>
        </w:tc>
      </w:tr>
      <w:tr>
        <w:trPr/>
        <w:tc>
          <w:tcPr>
            <w:tcW w:w="3501" w:type="dxa"/>
            <w:tcBorders/>
          </w:tcPr>
          <w:p>
            <w:pPr>
              <w:pStyle w:val="TableContents"/>
              <w:spacing w:before="0" w:after="200"/>
              <w:jc w:val="left"/>
              <w:rPr/>
            </w:pPr>
            <w:r>
              <w:rPr/>
              <w:t>S1 - swept, external buffer [2–4]</w:t>
            </w:r>
          </w:p>
        </w:tc>
        <w:tc>
          <w:tcPr>
            <w:tcW w:w="2626" w:type="dxa"/>
            <w:tcBorders/>
          </w:tcPr>
          <w:p>
            <w:pPr>
              <w:pStyle w:val="TableContents"/>
              <w:spacing w:before="0" w:after="200"/>
              <w:jc w:val="center"/>
              <w:rPr/>
            </w:pPr>
            <w:r>
              <w:rPr/>
              <w:t>27.1 ± 0.6</w:t>
            </w:r>
          </w:p>
        </w:tc>
        <w:tc>
          <w:tcPr>
            <w:tcW w:w="2628" w:type="dxa"/>
            <w:tcBorders/>
          </w:tcPr>
          <w:p>
            <w:pPr>
              <w:pStyle w:val="TableContents"/>
              <w:spacing w:before="0" w:after="200"/>
              <w:jc w:val="center"/>
              <w:rPr/>
            </w:pPr>
            <w:r>
              <w:rPr/>
              <w:t>46.4 ± 1.1</w:t>
            </w:r>
          </w:p>
        </w:tc>
      </w:tr>
      <w:tr>
        <w:trPr/>
        <w:tc>
          <w:tcPr>
            <w:tcW w:w="3501" w:type="dxa"/>
            <w:tcBorders/>
          </w:tcPr>
          <w:p>
            <w:pPr>
              <w:pStyle w:val="TableContents"/>
              <w:spacing w:before="0" w:after="200"/>
              <w:jc w:val="left"/>
              <w:rPr/>
            </w:pPr>
            <w:r>
              <w:rPr/>
              <w:t>S2 - swept, fused in place (this work)</w:t>
            </w:r>
          </w:p>
        </w:tc>
        <w:tc>
          <w:tcPr>
            <w:tcW w:w="2626" w:type="dxa"/>
            <w:tcBorders/>
          </w:tcPr>
          <w:p>
            <w:pPr>
              <w:pStyle w:val="TableContents"/>
              <w:spacing w:before="0" w:after="200"/>
              <w:jc w:val="center"/>
              <w:rPr/>
            </w:pPr>
            <w:r>
              <w:rPr/>
              <w:t>17.6 ± 0.4</w:t>
            </w:r>
          </w:p>
        </w:tc>
        <w:tc>
          <w:tcPr>
            <w:tcW w:w="2628" w:type="dxa"/>
            <w:tcBorders/>
          </w:tcPr>
          <w:p>
            <w:pPr>
              <w:pStyle w:val="TableContents"/>
              <w:spacing w:before="0" w:after="200"/>
              <w:jc w:val="center"/>
              <w:rPr/>
            </w:pPr>
            <w:r>
              <w:rPr/>
              <w:t>34.4 ± 0.7</w:t>
            </w:r>
          </w:p>
        </w:tc>
      </w:tr>
      <w:tr>
        <w:trPr/>
        <w:tc>
          <w:tcPr>
            <w:tcW w:w="3501" w:type="dxa"/>
            <w:tcBorders/>
          </w:tcPr>
          <w:p>
            <w:pPr>
              <w:pStyle w:val="TableContents"/>
              <w:spacing w:before="0" w:after="200"/>
              <w:jc w:val="left"/>
              <w:rPr/>
            </w:pPr>
            <w:r>
              <w:rPr/>
              <w:t>S3 - + tube pruning + air-skip (this work)</w:t>
            </w:r>
          </w:p>
        </w:tc>
        <w:tc>
          <w:tcPr>
            <w:tcW w:w="2626" w:type="dxa"/>
            <w:tcBorders/>
          </w:tcPr>
          <w:p>
            <w:pPr>
              <w:pStyle w:val="TableContents"/>
              <w:spacing w:before="0" w:after="200"/>
              <w:jc w:val="center"/>
              <w:rPr/>
            </w:pPr>
            <w:r>
              <w:rPr/>
              <w:t>15.3 ± 0.3</w:t>
            </w:r>
          </w:p>
        </w:tc>
        <w:tc>
          <w:tcPr>
            <w:tcW w:w="2628" w:type="dxa"/>
            <w:tcBorders/>
          </w:tcPr>
          <w:p>
            <w:pPr>
              <w:pStyle w:val="TableContents"/>
              <w:spacing w:before="0" w:after="200"/>
              <w:jc w:val="center"/>
              <w:rPr/>
            </w:pPr>
            <w:r>
              <w:rPr/>
              <w:t>32.2 ± 0.6</w:t>
            </w:r>
          </w:p>
        </w:tc>
      </w:tr>
    </w:tbl>
    <w:p>
      <w:pPr>
        <w:pStyle w:val="BodyText"/>
        <w:jc w:val="both"/>
        <w:rPr>
          <w:b w:val="false"/>
          <w:bCs w:val="false"/>
        </w:rPr>
      </w:pPr>
      <w:r>
        <w:rPr>
          <w:b w:val="false"/>
          <w:bCs w:val="false"/>
        </w:rPr>
      </w:r>
    </w:p>
    <w:p>
      <w:pPr>
        <w:pStyle w:val="BodyText"/>
        <w:jc w:val="both"/>
        <w:rPr/>
      </w:pPr>
      <w:r>
        <w:rPr>
          <w:b w:val="false"/>
          <w:bCs w:val="false"/>
        </w:rPr>
        <w:t xml:space="preserve">Overall S0→S3 is 34.2× in net carving (17.1× with read-back). </w:t>
      </w:r>
      <w:r>
        <w:rPr/>
        <w:t>The pruning of §3.6 is applied on top of the S2 swept baseline.</w:t>
      </w:r>
      <w:r>
        <w:rPr>
          <w:b w:val="false"/>
          <w:bCs w:val="false"/>
        </w:rPr>
        <w:t xml:space="preserve"> Because Table 2 uses </w:t>
      </w:r>
      <w:r>
        <w:rPr>
          <w:rStyle w:val="VerbatimChar"/>
          <w:b w:val="false"/>
          <w:bCs w:val="false"/>
        </w:rPr>
        <w:t>square_600</w:t>
      </w:r>
      <w:r>
        <w:rPr>
          <w:b w:val="false"/>
          <w:bCs w:val="false"/>
        </w:rPr>
        <w:t xml:space="preserve"> with the larger </w:t>
      </w:r>
      <w:r>
        <w:rPr>
          <w:rStyle w:val="VerbatimChar"/>
          <w:b w:val="false"/>
          <w:bCs w:val="false"/>
        </w:rPr>
        <w:t>mill_10</w:t>
      </w:r>
      <w:r>
        <w:rPr>
          <w:b w:val="false"/>
          <w:bCs w:val="false"/>
        </w:rPr>
        <w:t xml:space="preserve"> tool, its absolute milliseconds differ from the </w:t>
      </w:r>
      <w:r>
        <w:rPr>
          <w:rStyle w:val="VerbatimChar"/>
          <w:b w:val="false"/>
          <w:bCs w:val="false"/>
        </w:rPr>
        <w:t>mill_3</w:t>
      </w:r>
      <w:r>
        <w:rPr>
          <w:b w:val="false"/>
          <w:bCs w:val="false"/>
        </w:rPr>
        <w:t xml:space="preserve"> net-carving figures in Tables 1 and 3; the comparison of interest is always within a table, on one binary and hardware.</w:t>
      </w:r>
    </w:p>
    <w:p>
      <w:pPr>
        <w:pStyle w:val="Heading3"/>
        <w:jc w:val="both"/>
        <w:rPr>
          <w:color w:val="000000"/>
        </w:rPr>
      </w:pPr>
      <w:bookmarkStart w:id="26" w:name="X4fd69d9057cb8b0e068bcf29946e6167fc3f833"/>
      <w:r>
        <w:rPr>
          <w:color w:val="000000"/>
        </w:rPr>
        <w:t>6.1 Cross-workload matrix: established methods vs. this work</w:t>
      </w:r>
    </w:p>
    <w:p>
      <w:pPr>
        <w:pStyle w:val="FirstParagraph"/>
        <w:jc w:val="both"/>
        <w:rPr>
          <w:b w:val="false"/>
          <w:bCs w:val="false"/>
        </w:rPr>
      </w:pPr>
      <w:r>
        <w:rPr>
          <w:b w:val="false"/>
          <w:bCs w:val="false"/>
        </w:rPr>
        <w:t xml:space="preserve">Table 1 isolates the pruning lever on two diagonal stress programs; to separate what a </w:t>
      </w:r>
      <w:r>
        <w:rPr>
          <w:b w:val="false"/>
          <w:bCs w:val="false"/>
          <w:i/>
          <w:iCs/>
        </w:rPr>
        <w:t>known</w:t>
      </w:r>
      <w:r>
        <w:rPr>
          <w:b w:val="false"/>
          <w:bCs w:val="false"/>
        </w:rPr>
        <w:t xml:space="preserve"> method already buys from this work’s contributions across realistic work, we ran a suite of machining workloads that stress different axes at four refinement levels, all on the same binary, representation and GPU - apples-to-apples. We deliberately do not quote other authors’ absolute timings (meaningless across hardware, representation, tool and resolution); each level is </w:t>
      </w:r>
      <w:r>
        <w:rPr>
          <w:b w:val="false"/>
          <w:bCs w:val="false"/>
          <w:i/>
          <w:iCs/>
        </w:rPr>
        <w:t>our</w:t>
      </w:r>
      <w:r>
        <w:rPr>
          <w:b w:val="false"/>
          <w:bCs w:val="false"/>
        </w:rPr>
        <w:t xml:space="preserve"> fair, optimized implementation of the corresponding algorithm class, anchored to the literature it represents:</w:t>
      </w:r>
    </w:p>
    <w:p>
      <w:pPr>
        <w:pStyle w:val="Compact"/>
        <w:numPr>
          <w:ilvl w:val="0"/>
          <w:numId w:val="1"/>
        </w:numPr>
        <w:jc w:val="both"/>
        <w:rPr/>
      </w:pPr>
      <w:r>
        <w:rPr>
          <w:b w:val="false"/>
          <w:bCs w:val="false"/>
        </w:rPr>
        <w:t>S0, per-step stamping: the classic z-map/dexel display method (Van Hook 1986 [1]); the tool is stamped at fixed jog steps along each segment (</w:t>
      </w:r>
      <w:r>
        <w:rPr>
          <w:rStyle w:val="VerbatimChar"/>
          <w:b w:val="false"/>
          <w:bCs w:val="false"/>
        </w:rPr>
        <w:t>--legacy</w:t>
      </w:r>
      <w:r>
        <w:rPr>
          <w:b w:val="false"/>
          <w:bCs w:val="false"/>
        </w:rPr>
        <w:t>, default step 2 voxels - the setting a display-oriented stamper would realistically use). S0 is a timing and behavioural reference, not a geometric ground truth (§4.6).</w:t>
      </w:r>
    </w:p>
    <w:p>
      <w:pPr>
        <w:pStyle w:val="Compact"/>
        <w:numPr>
          <w:ilvl w:val="0"/>
          <w:numId w:val="1"/>
        </w:numPr>
        <w:jc w:val="both"/>
        <w:rPr/>
      </w:pPr>
      <w:r>
        <w:rPr>
          <w:b w:val="false"/>
          <w:bCs w:val="false"/>
        </w:rPr>
        <w:t>S</w:t>
      </w:r>
      <w:r>
        <w:rPr>
          <w:b w:val="false"/>
          <w:bCs w:val="false"/>
        </w:rPr>
        <w:t>1,</w:t>
      </w:r>
      <w:r>
        <w:rPr>
          <w:b w:val="false"/>
          <w:bCs w:val="false"/>
        </w:rPr>
        <w:t xml:space="preserve"> swept, external buffer: the straightforward per-move swept implementation (the multi-/tri-dexel class; Müller &amp; Surmann 2003 [2]; Tukora &amp; Szalay 2012 [3]; Inui et al. 2019 [4]) - the swept volume is materialized in a separate full-size buffer and then subtracted (</w:t>
      </w:r>
      <w:r>
        <w:rPr>
          <w:rStyle w:val="VerbatimChar"/>
          <w:b w:val="false"/>
          <w:bCs w:val="false"/>
        </w:rPr>
        <w:t>--legacy-external-buffer</w:t>
      </w:r>
      <w:r>
        <w:rPr>
          <w:b w:val="false"/>
          <w:bCs w:val="false"/>
        </w:rPr>
        <w:t>).</w:t>
      </w:r>
    </w:p>
    <w:p>
      <w:pPr>
        <w:pStyle w:val="Compact"/>
        <w:numPr>
          <w:ilvl w:val="0"/>
          <w:numId w:val="1"/>
        </w:numPr>
        <w:jc w:val="both"/>
        <w:rPr/>
      </w:pPr>
      <w:r>
        <w:rPr>
          <w:b w:val="false"/>
          <w:bCs w:val="false"/>
        </w:rPr>
        <w:t xml:space="preserve">S2, swept, fused in-place: this work’s fusion - the swept-tool column is computed on the fly as a Z-envelope and subtracted in place in the resident buffer, with no intermediate swept-volume buffer (§3.3; </w:t>
      </w:r>
      <w:r>
        <w:rPr>
          <w:rStyle w:val="VerbatimChar"/>
          <w:b w:val="false"/>
          <w:bCs w:val="false"/>
        </w:rPr>
        <w:t>AUTOCAM_SWEPT_SKIP=0</w:t>
      </w:r>
      <w:r>
        <w:rPr>
          <w:b w:val="false"/>
          <w:bCs w:val="false"/>
        </w:rPr>
        <w:t>).</w:t>
      </w:r>
    </w:p>
    <w:p>
      <w:pPr>
        <w:pStyle w:val="Compact"/>
        <w:numPr>
          <w:ilvl w:val="0"/>
          <w:numId w:val="1"/>
        </w:numPr>
        <w:jc w:val="both"/>
        <w:rPr>
          <w:b w:val="false"/>
          <w:bCs w:val="false"/>
        </w:rPr>
      </w:pPr>
      <w:r>
        <w:rPr>
          <w:b w:val="false"/>
          <w:bCs w:val="false"/>
        </w:rPr>
        <w:t>S3, + tube pruning + in-air skip: this work's traffic pruning on top of S2 (§3.6).</w:t>
      </w:r>
    </w:p>
    <w:p>
      <w:pPr>
        <w:pStyle w:val="FirstParagraph"/>
        <w:jc w:val="both"/>
        <w:rPr>
          <w:b w:val="false"/>
          <w:bCs w:val="false"/>
        </w:rPr>
      </w:pPr>
      <w:r>
        <w:rPr>
          <w:b w:val="false"/>
          <w:bCs w:val="false"/>
        </w:rPr>
        <w:t>The design decision the paper claims - fuse the subtraction rather than materialize the swept volume - is thus isolated as a single measured step, S1→S2. The three swept levels (S1–S3) are byte-identical to one another; S0 is a timing and behavioural reference, not a geometric ground truth (§4.6).</w:t>
      </w:r>
    </w:p>
    <w:p>
      <w:pPr>
        <w:pStyle w:val="CaptionedFigure"/>
        <w:rPr/>
      </w:pPr>
      <w:r>
        <w:rPr>
          <w:b/>
          <w:bCs/>
        </w:rPr>
        <w:t>Table 3</w:t>
      </w:r>
      <w:r>
        <w:rPr/>
        <w:t xml:space="preserve"> Net carving time (ms) per machining workload and refinement level (32-voxel tool; mean of ten interleaved campaigns ± population sd, cross-campaign CV ≤ 6% (§5.4), Intel iris; swept levels byte-identical, S0 a coarse reference not a ground truth). S1→S2 is the fusion / no-external-buffer gain (this work); S2→S3 is pruning (this work); S0→S3 is overall.</w:t>
      </w:r>
    </w:p>
    <w:tbl>
      <w:tblPr>
        <w:tblStyle w:val="Table"/>
        <w:tblW w:w="10642" w:type="dxa"/>
        <w:jc w:val="left"/>
        <w:tblInd w:w="-699" w:type="dxa"/>
        <w:tblLayout w:type="fixed"/>
        <w:tblCellMar>
          <w:top w:w="0" w:type="dxa"/>
          <w:left w:w="108" w:type="dxa"/>
          <w:bottom w:w="0" w:type="dxa"/>
          <w:right w:w="108" w:type="dxa"/>
        </w:tblCellMar>
        <w:tblLook w:noHBand="0" w:noVBand="0" w:firstColumn="0" w:lastRow="0" w:lastColumn="0" w:firstRow="1" w:val="0020"/>
      </w:tblPr>
      <w:tblGrid>
        <w:gridCol w:w="2067"/>
        <w:gridCol w:w="1116"/>
        <w:gridCol w:w="1634"/>
        <w:gridCol w:w="858"/>
        <w:gridCol w:w="1033"/>
        <w:gridCol w:w="1117"/>
        <w:gridCol w:w="1033"/>
        <w:gridCol w:w="1784"/>
      </w:tblGrid>
      <w:tr>
        <w:trPr/>
        <w:tc>
          <w:tcPr>
            <w:tcW w:w="2067"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Workload (what it stresses)</w:t>
            </w:r>
          </w:p>
        </w:tc>
        <w:tc>
          <w:tcPr>
            <w:tcW w:w="1116"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S0</w:t>
            </w:r>
          </w:p>
        </w:tc>
        <w:tc>
          <w:tcPr>
            <w:tcW w:w="1634"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S1</w:t>
            </w:r>
          </w:p>
        </w:tc>
        <w:tc>
          <w:tcPr>
            <w:tcW w:w="858"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S2</w:t>
            </w:r>
          </w:p>
        </w:tc>
        <w:tc>
          <w:tcPr>
            <w:tcW w:w="1033"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S3</w:t>
            </w:r>
          </w:p>
        </w:tc>
        <w:tc>
          <w:tcPr>
            <w:tcW w:w="1117"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S1→S2</w:t>
            </w:r>
          </w:p>
        </w:tc>
        <w:tc>
          <w:tcPr>
            <w:tcW w:w="1033"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S2→S3</w:t>
            </w:r>
          </w:p>
        </w:tc>
        <w:tc>
          <w:tcPr>
            <w:tcW w:w="1784"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S0→S3</w:t>
            </w:r>
          </w:p>
        </w:tc>
      </w:tr>
      <w:tr>
        <w:trPr/>
        <w:tc>
          <w:tcPr>
            <w:tcW w:w="2067" w:type="dxa"/>
            <w:tcBorders/>
            <w:vAlign w:val="center"/>
          </w:tcPr>
          <w:p>
            <w:pPr>
              <w:pStyle w:val="TableContents"/>
              <w:spacing w:before="0" w:after="200"/>
              <w:jc w:val="left"/>
              <w:rPr/>
            </w:pPr>
            <w:r>
              <w:rPr/>
              <w:t>w</w:t>
            </w:r>
            <w:r>
              <w:rPr/>
              <w:t>hat the level is</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stamping</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swept, ext. buffer</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swept, fused</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 prune + air-skip</w:t>
            </w:r>
          </w:p>
        </w:tc>
        <w:tc>
          <w:tcPr>
            <w:tcW w:w="1117" w:type="dxa"/>
            <w:tcBorders/>
            <w:vAlign w:val="center"/>
          </w:tcPr>
          <w:p>
            <w:pPr>
              <w:pStyle w:val="TableContents"/>
              <w:spacing w:before="0" w:after="200"/>
              <w:jc w:val="center"/>
              <w:rPr>
                <w:rFonts w:ascii="Arial" w:hAnsi="Arial" w:eastAsia="Arial" w:cs=""/>
                <w:kern w:val="0"/>
                <w:sz w:val="24"/>
                <w:szCs w:val="24"/>
                <w:lang w:val="en-US" w:eastAsia="en-US" w:bidi="ar-SA"/>
              </w:rPr>
            </w:pPr>
            <w:r>
              <w:rPr/>
              <w:t>(fusion)</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(prune)</w:t>
            </w:r>
          </w:p>
        </w:tc>
        <w:tc>
          <w:tcPr>
            <w:tcW w:w="1784" w:type="dxa"/>
            <w:tcBorders/>
            <w:vAlign w:val="center"/>
          </w:tcPr>
          <w:p>
            <w:pPr>
              <w:pStyle w:val="TableContents"/>
              <w:spacing w:before="0" w:after="200"/>
              <w:jc w:val="center"/>
              <w:rPr/>
            </w:pPr>
            <w:r>
              <w:rPr/>
            </w:r>
          </w:p>
        </w:tc>
      </w:tr>
      <w:tr>
        <w:trPr/>
        <w:tc>
          <w:tcPr>
            <w:tcW w:w="2067" w:type="dxa"/>
            <w:tcBorders/>
            <w:vAlign w:val="center"/>
          </w:tcPr>
          <w:p>
            <w:pPr>
              <w:pStyle w:val="TableContents"/>
              <w:spacing w:before="0" w:after="200"/>
              <w:jc w:val="left"/>
              <w:rPr/>
            </w:pPr>
            <w:r>
              <w:rPr/>
              <w:t>a</w:t>
            </w:r>
            <w:r>
              <w:rPr/>
              <w:t>ttribution</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Van Hook [1]</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straightforward swept [2–4]</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this work</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this work</w:t>
            </w:r>
          </w:p>
        </w:tc>
        <w:tc>
          <w:tcPr>
            <w:tcW w:w="1117" w:type="dxa"/>
            <w:tcBorders/>
            <w:vAlign w:val="center"/>
          </w:tcPr>
          <w:p>
            <w:pPr>
              <w:pStyle w:val="TableContents"/>
              <w:spacing w:before="0" w:after="200"/>
              <w:jc w:val="center"/>
              <w:rPr/>
            </w:pPr>
            <w:r>
              <w:rPr/>
            </w:r>
          </w:p>
        </w:tc>
        <w:tc>
          <w:tcPr>
            <w:tcW w:w="1033" w:type="dxa"/>
            <w:tcBorders/>
            <w:vAlign w:val="center"/>
          </w:tcPr>
          <w:p>
            <w:pPr>
              <w:pStyle w:val="TableContents"/>
              <w:spacing w:before="0" w:after="200"/>
              <w:jc w:val="center"/>
              <w:rPr/>
            </w:pPr>
            <w:r>
              <w:rPr/>
            </w:r>
          </w:p>
        </w:tc>
        <w:tc>
          <w:tcPr>
            <w:tcW w:w="1784" w:type="dxa"/>
            <w:tcBorders/>
            <w:vAlign w:val="center"/>
          </w:tcPr>
          <w:p>
            <w:pPr>
              <w:pStyle w:val="TableContents"/>
              <w:spacing w:before="0" w:after="200"/>
              <w:jc w:val="center"/>
              <w:rPr/>
            </w:pPr>
            <w:r>
              <w:rPr/>
            </w:r>
          </w:p>
        </w:tc>
      </w:tr>
      <w:tr>
        <w:trPr/>
        <w:tc>
          <w:tcPr>
            <w:tcW w:w="2067" w:type="dxa"/>
            <w:tcBorders/>
            <w:vAlign w:val="center"/>
          </w:tcPr>
          <w:p>
            <w:pPr>
              <w:pStyle w:val="TableContents"/>
              <w:spacing w:before="0" w:after="200"/>
              <w:jc w:val="left"/>
              <w:rPr/>
            </w:pPr>
            <w:r>
              <w:rPr/>
              <w:t>c</w:t>
            </w:r>
            <w:r>
              <w:rPr/>
              <w:t>ontour - axis-aligned perimeter</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51.47</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10.00</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4.01</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4.08</w:t>
            </w:r>
          </w:p>
        </w:tc>
        <w:tc>
          <w:tcPr>
            <w:tcW w:w="1117" w:type="dxa"/>
            <w:tcBorders/>
            <w:vAlign w:val="center"/>
          </w:tcPr>
          <w:p>
            <w:pPr>
              <w:pStyle w:val="TableContents"/>
              <w:spacing w:before="0" w:after="200"/>
              <w:jc w:val="center"/>
              <w:rPr>
                <w:rFonts w:ascii="Arial" w:hAnsi="Arial" w:eastAsia="Arial" w:cs=""/>
                <w:kern w:val="0"/>
                <w:sz w:val="24"/>
                <w:szCs w:val="24"/>
                <w:lang w:val="en-US" w:eastAsia="en-US" w:bidi="ar-SA"/>
              </w:rPr>
            </w:pPr>
            <w:r>
              <w:rPr/>
              <w:t>2.49×</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0.99×</w:t>
            </w:r>
          </w:p>
        </w:tc>
        <w:tc>
          <w:tcPr>
            <w:tcW w:w="1784" w:type="dxa"/>
            <w:tcBorders/>
            <w:vAlign w:val="center"/>
          </w:tcPr>
          <w:p>
            <w:pPr>
              <w:pStyle w:val="TableContents"/>
              <w:spacing w:before="0" w:after="200"/>
              <w:jc w:val="center"/>
              <w:rPr>
                <w:rFonts w:ascii="Arial" w:hAnsi="Arial" w:eastAsia="Arial" w:cs=""/>
                <w:kern w:val="0"/>
                <w:sz w:val="24"/>
                <w:szCs w:val="24"/>
                <w:lang w:val="en-US" w:eastAsia="en-US" w:bidi="ar-SA"/>
              </w:rPr>
            </w:pPr>
            <w:r>
              <w:rPr/>
              <w:t>12.6×</w:t>
            </w:r>
          </w:p>
        </w:tc>
      </w:tr>
      <w:tr>
        <w:trPr/>
        <w:tc>
          <w:tcPr>
            <w:tcW w:w="2067" w:type="dxa"/>
            <w:tcBorders/>
            <w:vAlign w:val="center"/>
          </w:tcPr>
          <w:p>
            <w:pPr>
              <w:pStyle w:val="TableContents"/>
              <w:suppressAutoHyphens w:val="true"/>
              <w:bidi w:val="0"/>
              <w:spacing w:before="0" w:after="200"/>
              <w:jc w:val="left"/>
              <w:rPr>
                <w:rFonts w:ascii="Arial" w:hAnsi="Arial" w:eastAsia="Arial" w:cs="" w:asciiTheme="minorHAnsi" w:cstheme="minorBidi" w:eastAsiaTheme="minorHAnsi" w:hAnsiTheme="minorHAnsi"/>
                <w:color w:val="auto"/>
                <w:kern w:val="0"/>
                <w:szCs w:val="24"/>
                <w:lang w:val="en-US" w:eastAsia="en-US" w:bidi="ar-SA"/>
              </w:rPr>
            </w:pPr>
            <w:r>
              <w:rPr>
                <w:rFonts w:eastAsia="Arial" w:cs="" w:cstheme="minorBidi" w:eastAsiaTheme="minorHAnsi" w:ascii="Liberation Mono" w:hAnsi="Liberation Mono"/>
                <w:color w:val="auto"/>
                <w:kern w:val="0"/>
                <w:szCs w:val="24"/>
                <w:lang w:val="en-US" w:eastAsia="en-US" w:bidi="ar-SA"/>
              </w:rPr>
              <w:t>pocket_axis</w:t>
            </w:r>
            <w:r>
              <w:rPr>
                <w:rFonts w:eastAsia="Arial" w:cs="" w:cstheme="minorBidi" w:eastAsiaTheme="minorHAnsi"/>
                <w:color w:val="auto"/>
                <w:kern w:val="0"/>
                <w:szCs w:val="24"/>
                <w:lang w:val="en-US" w:eastAsia="en-US" w:bidi="ar-SA"/>
              </w:rPr>
              <w:t xml:space="preserve"> - axis-aligned raster</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151.22</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17.81</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8.76</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9.25</w:t>
            </w:r>
          </w:p>
        </w:tc>
        <w:tc>
          <w:tcPr>
            <w:tcW w:w="1117" w:type="dxa"/>
            <w:tcBorders/>
            <w:vAlign w:val="center"/>
          </w:tcPr>
          <w:p>
            <w:pPr>
              <w:pStyle w:val="TableContents"/>
              <w:spacing w:before="0" w:after="200"/>
              <w:jc w:val="center"/>
              <w:rPr>
                <w:rFonts w:ascii="Arial" w:hAnsi="Arial" w:eastAsia="Arial" w:cs=""/>
                <w:kern w:val="0"/>
                <w:sz w:val="24"/>
                <w:szCs w:val="24"/>
                <w:lang w:val="en-US" w:eastAsia="en-US" w:bidi="ar-SA"/>
              </w:rPr>
            </w:pPr>
            <w:r>
              <w:rPr/>
              <w:t>2.03×</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0.95×</w:t>
            </w:r>
          </w:p>
        </w:tc>
        <w:tc>
          <w:tcPr>
            <w:tcW w:w="1784" w:type="dxa"/>
            <w:tcBorders/>
            <w:vAlign w:val="center"/>
          </w:tcPr>
          <w:p>
            <w:pPr>
              <w:pStyle w:val="TableContents"/>
              <w:spacing w:before="0" w:after="200"/>
              <w:jc w:val="center"/>
              <w:rPr>
                <w:rFonts w:ascii="Arial" w:hAnsi="Arial" w:eastAsia="Arial" w:cs=""/>
                <w:kern w:val="0"/>
                <w:sz w:val="24"/>
                <w:szCs w:val="24"/>
                <w:lang w:val="en-US" w:eastAsia="en-US" w:bidi="ar-SA"/>
              </w:rPr>
            </w:pPr>
            <w:r>
              <w:rPr/>
              <w:t>16.4×</w:t>
            </w:r>
          </w:p>
        </w:tc>
      </w:tr>
      <w:tr>
        <w:trPr/>
        <w:tc>
          <w:tcPr>
            <w:tcW w:w="2067" w:type="dxa"/>
            <w:tcBorders/>
            <w:vAlign w:val="center"/>
          </w:tcPr>
          <w:p>
            <w:pPr>
              <w:pStyle w:val="TableContents"/>
              <w:spacing w:before="0" w:after="200"/>
              <w:jc w:val="left"/>
              <w:rPr>
                <w:rFonts w:ascii="Arial" w:hAnsi="Arial" w:eastAsia="Arial" w:cs=""/>
                <w:kern w:val="0"/>
                <w:sz w:val="24"/>
                <w:szCs w:val="24"/>
                <w:lang w:val="en-US" w:eastAsia="en-US" w:bidi="ar-SA"/>
              </w:rPr>
            </w:pPr>
            <w:r>
              <w:rPr/>
              <w:t>raster45 - 45° diagonal raster</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264.75</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43.88</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35.59</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14.79</w:t>
            </w:r>
          </w:p>
        </w:tc>
        <w:tc>
          <w:tcPr>
            <w:tcW w:w="1117" w:type="dxa"/>
            <w:tcBorders/>
            <w:vAlign w:val="center"/>
          </w:tcPr>
          <w:p>
            <w:pPr>
              <w:pStyle w:val="TableContents"/>
              <w:spacing w:before="0" w:after="200"/>
              <w:jc w:val="center"/>
              <w:rPr>
                <w:rFonts w:ascii="Arial" w:hAnsi="Arial" w:eastAsia="Arial" w:cs=""/>
                <w:kern w:val="0"/>
                <w:sz w:val="24"/>
                <w:szCs w:val="24"/>
                <w:lang w:val="en-US" w:eastAsia="en-US" w:bidi="ar-SA"/>
              </w:rPr>
            </w:pPr>
            <w:r>
              <w:rPr/>
              <w:t>1.23×</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2.41×</w:t>
            </w:r>
          </w:p>
        </w:tc>
        <w:tc>
          <w:tcPr>
            <w:tcW w:w="1784" w:type="dxa"/>
            <w:tcBorders/>
            <w:vAlign w:val="center"/>
          </w:tcPr>
          <w:p>
            <w:pPr>
              <w:pStyle w:val="TableContents"/>
              <w:spacing w:before="0" w:after="200"/>
              <w:jc w:val="center"/>
              <w:rPr>
                <w:rFonts w:ascii="Arial" w:hAnsi="Arial" w:eastAsia="Arial" w:cs=""/>
                <w:kern w:val="0"/>
                <w:sz w:val="24"/>
                <w:szCs w:val="24"/>
                <w:lang w:val="en-US" w:eastAsia="en-US" w:bidi="ar-SA"/>
              </w:rPr>
            </w:pPr>
            <w:r>
              <w:rPr/>
              <w:t>17.9×</w:t>
            </w:r>
          </w:p>
        </w:tc>
      </w:tr>
      <w:tr>
        <w:trPr/>
        <w:tc>
          <w:tcPr>
            <w:tcW w:w="2067" w:type="dxa"/>
            <w:tcBorders/>
            <w:vAlign w:val="center"/>
          </w:tcPr>
          <w:p>
            <w:pPr>
              <w:pStyle w:val="TableContents"/>
              <w:spacing w:before="0" w:after="200"/>
              <w:jc w:val="left"/>
              <w:rPr>
                <w:rFonts w:ascii="Arial" w:hAnsi="Arial" w:eastAsia="Arial" w:cs=""/>
                <w:kern w:val="0"/>
                <w:sz w:val="24"/>
                <w:szCs w:val="24"/>
                <w:lang w:val="en-US" w:eastAsia="en-US" w:bidi="ar-SA"/>
              </w:rPr>
            </w:pPr>
            <w:r>
              <w:rPr/>
              <w:t>rapids - scattered cuts, long air moves</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81.00</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17.41</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12.76</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6.63</w:t>
            </w:r>
          </w:p>
        </w:tc>
        <w:tc>
          <w:tcPr>
            <w:tcW w:w="1117" w:type="dxa"/>
            <w:tcBorders/>
            <w:vAlign w:val="center"/>
          </w:tcPr>
          <w:p>
            <w:pPr>
              <w:pStyle w:val="TableContents"/>
              <w:spacing w:before="0" w:after="200"/>
              <w:jc w:val="center"/>
              <w:rPr>
                <w:rFonts w:ascii="Arial" w:hAnsi="Arial" w:eastAsia="Arial" w:cs=""/>
                <w:kern w:val="0"/>
                <w:sz w:val="24"/>
                <w:szCs w:val="24"/>
                <w:lang w:val="en-US" w:eastAsia="en-US" w:bidi="ar-SA"/>
              </w:rPr>
            </w:pPr>
            <w:r>
              <w:rPr/>
              <w:t>1.37×</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1.93×</w:t>
            </w:r>
          </w:p>
        </w:tc>
        <w:tc>
          <w:tcPr>
            <w:tcW w:w="1784" w:type="dxa"/>
            <w:tcBorders/>
            <w:vAlign w:val="center"/>
          </w:tcPr>
          <w:p>
            <w:pPr>
              <w:pStyle w:val="TableContents"/>
              <w:spacing w:before="0" w:after="200"/>
              <w:jc w:val="center"/>
              <w:rPr>
                <w:rFonts w:ascii="Arial" w:hAnsi="Arial" w:eastAsia="Arial" w:cs=""/>
                <w:kern w:val="0"/>
                <w:sz w:val="24"/>
                <w:szCs w:val="24"/>
                <w:lang w:val="en-US" w:eastAsia="en-US" w:bidi="ar-SA"/>
              </w:rPr>
            </w:pPr>
            <w:r>
              <w:rPr/>
              <w:t>12.2×</w:t>
            </w:r>
          </w:p>
        </w:tc>
      </w:tr>
      <w:tr>
        <w:trPr/>
        <w:tc>
          <w:tcPr>
            <w:tcW w:w="2067" w:type="dxa"/>
            <w:tcBorders/>
            <w:vAlign w:val="center"/>
          </w:tcPr>
          <w:p>
            <w:pPr>
              <w:pStyle w:val="TableContents"/>
              <w:spacing w:before="0" w:after="200"/>
              <w:jc w:val="left"/>
              <w:rPr>
                <w:rFonts w:ascii="Arial" w:hAnsi="Arial" w:eastAsia="Arial" w:cs=""/>
                <w:kern w:val="0"/>
                <w:sz w:val="24"/>
                <w:szCs w:val="24"/>
                <w:lang w:val="en-US" w:eastAsia="en-US" w:bidi="ar-SA"/>
              </w:rPr>
            </w:pPr>
            <w:r>
              <w:rPr/>
              <w:t>localized - small corner feature</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39.00</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13.46</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5.77</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4.92</w:t>
            </w:r>
          </w:p>
        </w:tc>
        <w:tc>
          <w:tcPr>
            <w:tcW w:w="1117" w:type="dxa"/>
            <w:tcBorders/>
            <w:vAlign w:val="center"/>
          </w:tcPr>
          <w:p>
            <w:pPr>
              <w:pStyle w:val="TableContents"/>
              <w:spacing w:before="0" w:after="200"/>
              <w:jc w:val="center"/>
              <w:rPr>
                <w:rFonts w:ascii="Arial" w:hAnsi="Arial" w:eastAsia="Arial" w:cs=""/>
                <w:kern w:val="0"/>
                <w:sz w:val="24"/>
                <w:szCs w:val="24"/>
                <w:lang w:val="en-US" w:eastAsia="en-US" w:bidi="ar-SA"/>
              </w:rPr>
            </w:pPr>
            <w:r>
              <w:rPr/>
              <w:t>2.34×</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1.18×</w:t>
            </w:r>
          </w:p>
        </w:tc>
        <w:tc>
          <w:tcPr>
            <w:tcW w:w="1784" w:type="dxa"/>
            <w:tcBorders/>
            <w:vAlign w:val="center"/>
          </w:tcPr>
          <w:p>
            <w:pPr>
              <w:pStyle w:val="TableContents"/>
              <w:spacing w:before="0" w:after="200"/>
              <w:jc w:val="center"/>
              <w:rPr>
                <w:rFonts w:ascii="Arial" w:hAnsi="Arial" w:eastAsia="Arial" w:cs=""/>
                <w:kern w:val="0"/>
                <w:sz w:val="24"/>
                <w:szCs w:val="24"/>
                <w:lang w:val="en-US" w:eastAsia="en-US" w:bidi="ar-SA"/>
              </w:rPr>
            </w:pPr>
            <w:r>
              <w:rPr/>
              <w:t>7.9×</w:t>
            </w:r>
          </w:p>
        </w:tc>
      </w:tr>
      <w:tr>
        <w:trPr/>
        <w:tc>
          <w:tcPr>
            <w:tcW w:w="2067" w:type="dxa"/>
            <w:tcBorders/>
            <w:vAlign w:val="center"/>
          </w:tcPr>
          <w:p>
            <w:pPr>
              <w:pStyle w:val="TableContents"/>
              <w:spacing w:before="0" w:after="200"/>
              <w:jc w:val="left"/>
              <w:rPr>
                <w:rFonts w:ascii="Arial" w:hAnsi="Arial" w:eastAsia="Arial" w:cs=""/>
                <w:kern w:val="0"/>
                <w:sz w:val="24"/>
                <w:szCs w:val="24"/>
                <w:lang w:val="en-US" w:eastAsia="en-US" w:bidi="ar-SA"/>
              </w:rPr>
            </w:pPr>
            <w:r>
              <w:rPr/>
              <w:t>finishing - fine-stepover axis-aligned raster</w:t>
            </w:r>
          </w:p>
        </w:tc>
        <w:tc>
          <w:tcPr>
            <w:tcW w:w="1116" w:type="dxa"/>
            <w:tcBorders/>
            <w:vAlign w:val="center"/>
          </w:tcPr>
          <w:p>
            <w:pPr>
              <w:pStyle w:val="TableContents"/>
              <w:spacing w:before="0" w:after="200"/>
              <w:jc w:val="center"/>
              <w:rPr>
                <w:rFonts w:ascii="Arial" w:hAnsi="Arial" w:eastAsia="Arial" w:cs=""/>
                <w:kern w:val="0"/>
                <w:sz w:val="24"/>
                <w:szCs w:val="24"/>
                <w:lang w:val="en-US" w:eastAsia="en-US" w:bidi="ar-SA"/>
              </w:rPr>
            </w:pPr>
            <w:r>
              <w:rPr/>
              <w:t>111.57</w:t>
            </w:r>
          </w:p>
        </w:tc>
        <w:tc>
          <w:tcPr>
            <w:tcW w:w="1634" w:type="dxa"/>
            <w:tcBorders/>
            <w:vAlign w:val="center"/>
          </w:tcPr>
          <w:p>
            <w:pPr>
              <w:pStyle w:val="TableContents"/>
              <w:spacing w:before="0" w:after="200"/>
              <w:jc w:val="center"/>
              <w:rPr>
                <w:rFonts w:ascii="Arial" w:hAnsi="Arial" w:eastAsia="Arial" w:cs=""/>
                <w:kern w:val="0"/>
                <w:sz w:val="24"/>
                <w:szCs w:val="24"/>
                <w:lang w:val="en-US" w:eastAsia="en-US" w:bidi="ar-SA"/>
              </w:rPr>
            </w:pPr>
            <w:r>
              <w:rPr/>
              <w:t>15.36</w:t>
            </w:r>
          </w:p>
        </w:tc>
        <w:tc>
          <w:tcPr>
            <w:tcW w:w="858" w:type="dxa"/>
            <w:tcBorders/>
            <w:vAlign w:val="center"/>
          </w:tcPr>
          <w:p>
            <w:pPr>
              <w:pStyle w:val="TableContents"/>
              <w:spacing w:before="0" w:after="200"/>
              <w:jc w:val="center"/>
              <w:rPr>
                <w:rFonts w:ascii="Arial" w:hAnsi="Arial" w:eastAsia="Arial" w:cs=""/>
                <w:kern w:val="0"/>
                <w:sz w:val="24"/>
                <w:szCs w:val="24"/>
                <w:lang w:val="en-US" w:eastAsia="en-US" w:bidi="ar-SA"/>
              </w:rPr>
            </w:pPr>
            <w:r>
              <w:rPr/>
              <w:t>7.60</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8.18</w:t>
            </w:r>
          </w:p>
        </w:tc>
        <w:tc>
          <w:tcPr>
            <w:tcW w:w="1117" w:type="dxa"/>
            <w:tcBorders/>
            <w:vAlign w:val="center"/>
          </w:tcPr>
          <w:p>
            <w:pPr>
              <w:pStyle w:val="TableContents"/>
              <w:spacing w:before="0" w:after="200"/>
              <w:jc w:val="center"/>
              <w:rPr>
                <w:rFonts w:ascii="Arial" w:hAnsi="Arial" w:eastAsia="Arial" w:cs=""/>
                <w:kern w:val="0"/>
                <w:sz w:val="24"/>
                <w:szCs w:val="24"/>
                <w:lang w:val="en-US" w:eastAsia="en-US" w:bidi="ar-SA"/>
              </w:rPr>
            </w:pPr>
            <w:r>
              <w:rPr/>
              <w:t>2.02×</w:t>
            </w:r>
          </w:p>
        </w:tc>
        <w:tc>
          <w:tcPr>
            <w:tcW w:w="1033" w:type="dxa"/>
            <w:tcBorders/>
            <w:vAlign w:val="center"/>
          </w:tcPr>
          <w:p>
            <w:pPr>
              <w:pStyle w:val="TableContents"/>
              <w:spacing w:before="0" w:after="200"/>
              <w:jc w:val="center"/>
              <w:rPr>
                <w:rFonts w:ascii="Arial" w:hAnsi="Arial" w:eastAsia="Arial" w:cs=""/>
                <w:kern w:val="0"/>
                <w:sz w:val="24"/>
                <w:szCs w:val="24"/>
                <w:lang w:val="en-US" w:eastAsia="en-US" w:bidi="ar-SA"/>
              </w:rPr>
            </w:pPr>
            <w:r>
              <w:rPr/>
              <w:t>0.93×</w:t>
            </w:r>
          </w:p>
        </w:tc>
        <w:tc>
          <w:tcPr>
            <w:tcW w:w="1784" w:type="dxa"/>
            <w:tcBorders/>
            <w:vAlign w:val="center"/>
          </w:tcPr>
          <w:p>
            <w:pPr>
              <w:pStyle w:val="TableContents"/>
              <w:spacing w:before="0" w:after="200"/>
              <w:jc w:val="center"/>
              <w:rPr>
                <w:rFonts w:ascii="Arial" w:hAnsi="Arial" w:eastAsia="Arial" w:cs=""/>
                <w:kern w:val="0"/>
                <w:sz w:val="24"/>
                <w:szCs w:val="24"/>
                <w:lang w:val="en-US" w:eastAsia="en-US" w:bidi="ar-SA"/>
              </w:rPr>
            </w:pPr>
            <w:r>
              <w:rPr/>
              <w:t>13.7×</w:t>
            </w:r>
          </w:p>
        </w:tc>
      </w:tr>
    </w:tbl>
    <w:p>
      <w:pPr>
        <w:pStyle w:val="BodyText"/>
        <w:jc w:val="both"/>
        <w:rPr/>
      </w:pPr>
      <w:r>
        <w:rPr/>
      </w:r>
    </w:p>
    <w:p>
      <w:pPr>
        <w:pStyle w:val="BodyText"/>
        <w:jc w:val="both"/>
        <w:rPr/>
      </w:pPr>
      <w:r>
        <w:rPr>
          <w:b w:val="false"/>
          <w:bCs w:val="false"/>
        </w:rPr>
        <w:t xml:space="preserve">Two of the levels are established, two are ours. </w:t>
      </w:r>
      <w:r>
        <w:rPr>
          <w:b w:val="false"/>
          <w:bCs w:val="false"/>
        </w:rPr>
        <w:t>S0→S1 (≈2.9-8.5×)</w:t>
      </w:r>
      <w:r>
        <w:rPr>
          <w:b w:val="false"/>
          <w:bCs w:val="false"/>
        </w:rPr>
        <w:t xml:space="preserve"> is the per-move swept formulation over per-step stamping - what the known methods already deliver. S1→S2 (≈1.2–2.5×, geomean ≈1.85×) is </w:t>
      </w:r>
      <w:r>
        <w:rPr>
          <w:b w:val="false"/>
          <w:bCs w:val="false"/>
        </w:rPr>
        <w:t>this work’s fusion</w:t>
      </w:r>
      <w:r>
        <w:rPr>
          <w:b w:val="false"/>
          <w:bCs w:val="false"/>
        </w:rPr>
        <w:t xml:space="preserve">: computing the swept envelope on the fly and subtracting it in place, rather than writing it to a separate buffer and subtracting in a second pass, is a consistent speed win </w:t>
      </w:r>
      <w:r>
        <w:rPr>
          <w:b w:val="false"/>
          <w:bCs w:val="false"/>
          <w:i/>
          <w:iCs/>
        </w:rPr>
        <w:t>and</w:t>
      </w:r>
      <w:r>
        <w:rPr>
          <w:b w:val="false"/>
          <w:bCs w:val="false"/>
        </w:rPr>
        <w:t xml:space="preserve"> removes a full-size resident buffer (§6.3) - the gain is largest where the carve is otherwise cheap (the fixed cost of the extra pass and buffer round-trip dominates) and smallest on the big diagonal raster. </w:t>
      </w:r>
      <w:r>
        <w:rPr>
          <w:b w:val="false"/>
          <w:bCs w:val="false"/>
        </w:rPr>
        <w:t>S2→S3</w:t>
      </w:r>
      <w:r>
        <w:rPr>
          <w:b w:val="false"/>
          <w:bCs w:val="false"/>
        </w:rPr>
        <w:t xml:space="preserve"> is this work’s tube pruning, workload-dependent by construction: it removes the over-dispatch of </w:t>
      </w:r>
      <w:r>
        <w:rPr>
          <w:b w:val="false"/>
          <w:bCs w:val="false"/>
          <w:i/>
          <w:iCs/>
        </w:rPr>
        <w:t>non-axis-aligned</w:t>
      </w:r>
      <w:r>
        <w:rPr>
          <w:b w:val="false"/>
          <w:bCs w:val="false"/>
        </w:rPr>
        <w:t xml:space="preserve"> segments (45° raster </w:t>
      </w:r>
      <w:r>
        <w:rPr>
          <w:b w:val="false"/>
          <w:bCs w:val="false"/>
        </w:rPr>
        <w:t>2.41×</w:t>
      </w:r>
      <w:r>
        <w:rPr>
          <w:b w:val="false"/>
          <w:bCs w:val="false"/>
        </w:rPr>
        <w:t xml:space="preserve">) and </w:t>
      </w:r>
      <w:r>
        <w:rPr>
          <w:b w:val="false"/>
          <w:bCs w:val="false"/>
          <w:i/>
          <w:iCs/>
        </w:rPr>
        <w:t>in-air</w:t>
      </w:r>
      <w:r>
        <w:rPr>
          <w:b w:val="false"/>
          <w:bCs w:val="false"/>
        </w:rPr>
        <w:t xml:space="preserve"> rapids (</w:t>
      </w:r>
      <w:r>
        <w:rPr>
          <w:b w:val="false"/>
          <w:bCs w:val="false"/>
        </w:rPr>
        <w:t>1.93×</w:t>
      </w:r>
      <w:r>
        <w:rPr>
          <w:b w:val="false"/>
          <w:bCs w:val="false"/>
        </w:rPr>
        <w:t xml:space="preserve">), and on axis-aligned programs it costs at most ≈8 % (contour 0.99×, </w:t>
      </w:r>
      <w:r>
        <w:rPr>
          <w:rFonts w:ascii="Liberation Mono" w:hAnsi="Liberation Mono"/>
          <w:b w:val="false"/>
          <w:bCs w:val="false"/>
        </w:rPr>
        <w:t>pocket_axis</w:t>
      </w:r>
      <w:r>
        <w:rPr>
          <w:b w:val="false"/>
          <w:bCs w:val="false"/>
        </w:rPr>
        <w:t xml:space="preserve"> 0.95×, finishing 0.93×) - the price of the per-column branch on dense rasters where every column is active and the AABB already equals the swept band. Fusion (S1→S2) and pruning (S2→S3) are complementary - the first always pays, the second pays where the dispatch over-covers. Reproducible via</w:t>
      </w:r>
      <w:r>
        <w:rPr/>
        <w:t xml:space="preserve"> </w:t>
      </w:r>
      <w:r>
        <w:rPr>
          <w:rStyle w:val="VerbatimChar"/>
        </w:rPr>
        <w:t>tools/bench_matrix.sh</w:t>
      </w:r>
      <w:r>
        <w:rPr/>
        <w:t>.</w:t>
      </w:r>
    </w:p>
    <w:p>
      <w:pPr>
        <w:pStyle w:val="CaptionedFigure"/>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31510" cy="4145280"/>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5731510" cy="4145280"/>
                    </a:xfrm>
                    <a:prstGeom prst="rect">
                      <a:avLst/>
                    </a:prstGeom>
                    <a:noFill/>
                  </pic:spPr>
                </pic:pic>
              </a:graphicData>
            </a:graphic>
          </wp:anchor>
        </w:drawing>
      </w:r>
      <w:r>
        <w:rPr>
          <w:b/>
          <w:bCs/>
        </w:rPr>
        <w:t xml:space="preserve">Fig. 8 </w:t>
      </w:r>
      <w:r>
        <w:rPr>
          <w:b w:val="false"/>
          <w:bCs w:val="false"/>
        </w:rPr>
        <w:t xml:space="preserve">Net carving time per machining workload and refinement level (log scale). S0→S1 is the established per-move swept method; </w:t>
      </w:r>
      <w:r>
        <w:rPr>
          <w:b w:val="false"/>
          <w:bCs w:val="false"/>
        </w:rPr>
        <w:t>S1→S2 is this work’s fusion - the swept volume computed on the fly and subtracted in place instead of via a separate buffer (≈1.2-2.5×, and it halves resident memory)</w:t>
      </w:r>
      <w:r>
        <w:rPr>
          <w:b w:val="false"/>
          <w:bCs w:val="false"/>
        </w:rPr>
        <w:t>; S2→S3 is this work’s tube-pruning + in-air skip, which pays where the dispatch over-covers (45° raster 2.41×, air-heavy 1.93×)</w:t>
      </w:r>
      <w:bookmarkEnd w:id="26"/>
    </w:p>
    <w:p>
      <w:pPr>
        <w:pStyle w:val="Heading3"/>
        <w:jc w:val="both"/>
        <w:rPr>
          <w:color w:val="000000"/>
        </w:rPr>
      </w:pPr>
      <w:bookmarkStart w:id="27" w:name="working-set-a-sparse-tiled-study"/>
      <w:r>
        <w:rPr>
          <w:color w:val="000000"/>
        </w:rPr>
        <w:t>6.2 Working-set: a sparse tiled study</w:t>
      </w:r>
    </w:p>
    <w:p>
      <w:pPr>
        <w:pStyle w:val="FirstParagraph"/>
        <w:jc w:val="both"/>
        <w:rPr/>
      </w:pPr>
      <w:r>
        <w:rPr>
          <w:b w:val="false"/>
          <w:bCs w:val="false"/>
        </w:rPr>
        <w:t>The 128 MB flat buffer is ~16× padding (</w:t>
      </w:r>
      <w:r>
        <w:rPr>
          <w:rStyle w:val="VerbatimChar"/>
          <w:b w:val="false"/>
          <w:bCs w:val="false"/>
        </w:rPr>
        <w:t>MAX_TRANSITIONS = 32</w:t>
      </w:r>
      <w:r>
        <w:rPr>
          <w:b w:val="false"/>
          <w:bCs w:val="false"/>
        </w:rPr>
        <w:t xml:space="preserve"> vs. 2 </w:t>
      </w:r>
      <w:r>
        <w:rPr>
          <w:b w:val="false"/>
          <w:bCs w:val="false"/>
        </w:rPr>
        <w:t xml:space="preserve">to </w:t>
      </w:r>
      <w:r>
        <w:rPr>
          <w:b w:val="false"/>
          <w:bCs w:val="false"/>
        </w:rPr>
        <w:t>4 real transitions per column). A full alternative backend (</w:t>
      </w:r>
      <w:r>
        <w:rPr>
          <w:rStyle w:val="VerbatimChar"/>
          <w:b w:val="false"/>
          <w:bCs w:val="false"/>
        </w:rPr>
        <w:t>AUTOCAM_CARVE_BACKEND=sparse</w:t>
      </w:r>
      <w:r>
        <w:rPr>
          <w:b w:val="false"/>
          <w:bCs w:val="false"/>
        </w:rPr>
        <w:t xml:space="preserve">) stores the stock in </w:t>
      </w:r>
      <w:r>
        <w:rPr>
          <w:rStyle w:val="VerbatimChar"/>
          <w:b w:val="false"/>
          <w:bCs w:val="false"/>
        </w:rPr>
        <w:t>32×32</w:t>
      </w:r>
      <w:r>
        <w:rPr>
          <w:b w:val="false"/>
          <w:bCs w:val="false"/>
        </w:rPr>
        <w:t xml:space="preserve">-column tiles, keeping untouched tiles UNIFORM (O(1)) and materializing a tile only when a segment’s bounding box first touches it - byte-identical to the flat backend, runtime-selectable. It isolates two effects. (i) Per-carve bandwidth is bounded by the </w:t>
      </w:r>
      <w:r>
        <w:rPr>
          <w:b w:val="false"/>
          <w:bCs w:val="false"/>
          <w:i/>
          <w:iCs/>
        </w:rPr>
        <w:t>swept bounding box</w:t>
      </w:r>
      <w:r>
        <w:rPr>
          <w:b w:val="false"/>
          <w:bCs w:val="false"/>
        </w:rPr>
        <w:t xml:space="preserve">, not the buffer size (both backends touch only the bbox columns), so tiling does not reduce the carve’s traffic </w:t>
      </w:r>
      <w:r>
        <w:rPr>
          <w:b w:val="false"/>
          <w:bCs w:val="false"/>
          <w:i/>
          <w:iCs/>
        </w:rPr>
        <w:t>volume</w:t>
      </w:r>
      <w:r>
        <w:rPr>
          <w:b w:val="false"/>
          <w:bCs w:val="false"/>
        </w:rPr>
        <w:t xml:space="preserve">; it only improves access </w:t>
      </w:r>
      <w:r>
        <w:rPr>
          <w:b w:val="false"/>
          <w:bCs w:val="false"/>
          <w:i/>
          <w:iCs/>
        </w:rPr>
        <w:t>locality</w:t>
      </w:r>
      <w:r>
        <w:rPr>
          <w:b w:val="false"/>
          <w:bCs w:val="false"/>
        </w:rPr>
        <w:t xml:space="preserve"> (the strided-access problem) → ~1.1× (</w:t>
      </w:r>
      <w:r>
        <w:rPr>
          <w:rFonts w:ascii="Liberation Mono" w:hAnsi="Liberation Mono"/>
          <w:b w:val="false"/>
          <w:bCs w:val="false"/>
        </w:rPr>
        <w:t>square_600</w:t>
      </w:r>
      <w:r>
        <w:rPr>
          <w:b w:val="false"/>
          <w:bCs w:val="false"/>
        </w:rPr>
        <w:t xml:space="preserve"> 1.09×, raster45 1.11×, </w:t>
      </w:r>
      <w:r>
        <w:rPr>
          <w:rFonts w:ascii="Liberation Mono" w:hAnsi="Liberation Mono"/>
          <w:b w:val="false"/>
          <w:bCs w:val="false"/>
        </w:rPr>
        <w:t>pocket_axis</w:t>
      </w:r>
      <w:r>
        <w:rPr>
          <w:b w:val="false"/>
          <w:bCs w:val="false"/>
        </w:rPr>
        <w:t xml:space="preserve"> 1.15×). (ii) Footprint is a conditional win tied to locality - a localized program materializes 49-56 / 1024 tiles (8 MB vs. 122 MB, ~15×), whereas whole-stock machining touches most tiles (raster45 736 / 1024, no saving). So sparse tiling is a memory/scale lever (finer resolutions, larger stocks, smaller read-back for localized work), not a carve-speed lever; host-side materialization even makes whole-stock programs slower.</w:t>
      </w:r>
      <w:bookmarkEnd w:id="27"/>
    </w:p>
    <w:p>
      <w:pPr>
        <w:pStyle w:val="Heading3"/>
        <w:jc w:val="both"/>
        <w:rPr>
          <w:color w:val="000000"/>
        </w:rPr>
      </w:pPr>
      <w:bookmarkStart w:id="28" w:name="X0cbae725dac3ac131b3fef9f61cd0d716a355bc"/>
      <w:r>
        <w:rPr>
          <w:color w:val="000000"/>
        </w:rPr>
        <w:t>6.3 Memory and data movement across the four levels</w:t>
      </w:r>
    </w:p>
    <w:p>
      <w:pPr>
        <w:pStyle w:val="FirstParagraph"/>
        <w:jc w:val="both"/>
        <w:rPr/>
      </w:pPr>
      <w:r>
        <w:rPr/>
        <w:t>Speed is only half the story: each step also shrinks what the GPU must hold and move. Table 4 consolidates the footprint and data-movement figures introduced piecemeal above (§3.3, §3.5, §6.2) for the reference stock.</w:t>
      </w:r>
    </w:p>
    <w:p>
      <w:pPr>
        <w:pStyle w:val="CaptionedFigure"/>
        <w:jc w:val="left"/>
        <w:rPr/>
      </w:pPr>
      <w:r>
        <w:rPr>
          <w:b/>
          <w:bCs/>
        </w:rPr>
        <w:t>Table 4</w:t>
      </w:r>
      <w:r>
        <w:rPr/>
        <w:t xml:space="preserve"> Resident footprint and data movement, per level (reference stock)</w:t>
      </w:r>
    </w:p>
    <w:tbl>
      <w:tblPr>
        <w:tblStyle w:val="Table"/>
        <w:tblW w:w="10482" w:type="dxa"/>
        <w:jc w:val="left"/>
        <w:tblInd w:w="-740" w:type="dxa"/>
        <w:tblLayout w:type="fixed"/>
        <w:tblCellMar>
          <w:top w:w="0" w:type="dxa"/>
          <w:left w:w="108" w:type="dxa"/>
          <w:bottom w:w="0" w:type="dxa"/>
          <w:right w:w="108" w:type="dxa"/>
        </w:tblCellMar>
        <w:tblLook w:noHBand="0" w:noVBand="0" w:firstColumn="0" w:lastRow="0" w:lastColumn="0" w:firstRow="1" w:val="0020"/>
      </w:tblPr>
      <w:tblGrid>
        <w:gridCol w:w="2355"/>
        <w:gridCol w:w="1987"/>
        <w:gridCol w:w="2333"/>
        <w:gridCol w:w="1892"/>
        <w:gridCol w:w="1915"/>
      </w:tblGrid>
      <w:tr>
        <w:trPr>
          <w:tblHeader w:val="true"/>
        </w:trPr>
        <w:tc>
          <w:tcPr>
            <w:tcW w:w="2355" w:type="dxa"/>
            <w:tcBorders>
              <w:bottom w:val="single" w:sz="6" w:space="0" w:color="000000"/>
            </w:tcBorders>
            <w:vAlign w:val="bottom"/>
          </w:tcPr>
          <w:p>
            <w:pPr>
              <w:pStyle w:val="Compact"/>
              <w:widowControl/>
              <w:suppressAutoHyphens w:val="true"/>
              <w:spacing w:before="36" w:after="36"/>
              <w:jc w:val="both"/>
              <w:rPr>
                <w:rFonts w:ascii="Arial" w:hAnsi="Arial" w:eastAsia="Arial" w:cs=""/>
                <w:kern w:val="0"/>
                <w:sz w:val="20"/>
                <w:szCs w:val="20"/>
                <w:lang w:val="en-US" w:eastAsia="en-US" w:bidi="ar-SA"/>
              </w:rPr>
            </w:pPr>
            <w:r>
              <w:rPr>
                <w:rFonts w:eastAsia="Arial" w:cs=""/>
                <w:kern w:val="0"/>
                <w:sz w:val="20"/>
                <w:szCs w:val="20"/>
                <w:lang w:val="en-US" w:eastAsia="en-US" w:bidi="ar-SA"/>
              </w:rPr>
            </w:r>
          </w:p>
        </w:tc>
        <w:tc>
          <w:tcPr>
            <w:tcW w:w="1987" w:type="dxa"/>
            <w:tcBorders>
              <w:bottom w:val="single" w:sz="6" w:space="0" w:color="000000"/>
            </w:tcBorders>
          </w:tcPr>
          <w:p>
            <w:pPr>
              <w:pStyle w:val="TableHeading"/>
              <w:spacing w:before="0" w:after="200"/>
              <w:rPr>
                <w:rFonts w:ascii="Arial" w:hAnsi="Arial" w:eastAsia="Arial" w:cs=""/>
                <w:kern w:val="0"/>
                <w:lang w:val="en-US" w:eastAsia="en-US" w:bidi="ar-SA"/>
              </w:rPr>
            </w:pPr>
            <w:r>
              <w:rPr>
                <w:sz w:val="20"/>
                <w:szCs w:val="20"/>
              </w:rPr>
              <w:t>Naive stamping</w:t>
            </w:r>
          </w:p>
        </w:tc>
        <w:tc>
          <w:tcPr>
            <w:tcW w:w="2333" w:type="dxa"/>
            <w:tcBorders>
              <w:bottom w:val="single" w:sz="6" w:space="0" w:color="000000"/>
            </w:tcBorders>
          </w:tcPr>
          <w:p>
            <w:pPr>
              <w:pStyle w:val="TableHeading"/>
              <w:spacing w:before="0" w:after="200"/>
              <w:rPr>
                <w:rFonts w:ascii="Arial" w:hAnsi="Arial" w:eastAsia="Arial" w:cs=""/>
                <w:kern w:val="0"/>
                <w:lang w:val="en-US" w:eastAsia="en-US" w:bidi="ar-SA"/>
              </w:rPr>
            </w:pPr>
            <w:r>
              <w:rPr>
                <w:sz w:val="20"/>
                <w:szCs w:val="20"/>
              </w:rPr>
              <w:t>Swept, external buffer (S1)</w:t>
            </w:r>
          </w:p>
        </w:tc>
        <w:tc>
          <w:tcPr>
            <w:tcW w:w="1892" w:type="dxa"/>
            <w:tcBorders>
              <w:bottom w:val="single" w:sz="6" w:space="0" w:color="000000"/>
            </w:tcBorders>
          </w:tcPr>
          <w:p>
            <w:pPr>
              <w:pStyle w:val="TableHeading"/>
              <w:spacing w:before="0" w:after="200"/>
              <w:rPr>
                <w:sz w:val="20"/>
                <w:szCs w:val="20"/>
              </w:rPr>
            </w:pPr>
            <w:r>
              <w:rPr>
                <w:sz w:val="20"/>
                <w:szCs w:val="20"/>
              </w:rPr>
              <w:t>Fused in place (S2)</w:t>
            </w:r>
          </w:p>
        </w:tc>
        <w:tc>
          <w:tcPr>
            <w:tcW w:w="1915" w:type="dxa"/>
            <w:tcBorders>
              <w:bottom w:val="single" w:sz="6" w:space="0" w:color="000000"/>
            </w:tcBorders>
          </w:tcPr>
          <w:p>
            <w:pPr>
              <w:pStyle w:val="TableHeading"/>
              <w:spacing w:before="0" w:after="200"/>
              <w:rPr>
                <w:sz w:val="20"/>
                <w:szCs w:val="20"/>
              </w:rPr>
            </w:pPr>
            <w:r>
              <w:rPr>
                <w:sz w:val="20"/>
                <w:szCs w:val="20"/>
              </w:rPr>
              <w:t>+ pruning (S3)</w:t>
            </w:r>
          </w:p>
        </w:tc>
      </w:tr>
      <w:tr>
        <w:trPr/>
        <w:tc>
          <w:tcPr>
            <w:tcW w:w="2355" w:type="dxa"/>
            <w:tcBorders/>
          </w:tcPr>
          <w:p>
            <w:pPr>
              <w:pStyle w:val="TableContents"/>
              <w:suppressAutoHyphens w:val="true"/>
              <w:bidi w:val="0"/>
              <w:spacing w:before="0" w:after="200"/>
              <w:jc w:val="left"/>
              <w:rPr>
                <w:rFonts w:ascii="Arial" w:hAnsi="Arial" w:eastAsia="Arial" w:cs="" w:asciiTheme="minorHAnsi" w:cstheme="minorBidi" w:eastAsiaTheme="minorHAnsi" w:hAnsiTheme="minorHAnsi"/>
                <w:b/>
                <w:bCs/>
                <w:color w:val="auto"/>
                <w:kern w:val="0"/>
                <w:sz w:val="20"/>
                <w:szCs w:val="20"/>
                <w:lang w:val="en-US" w:eastAsia="en-US" w:bidi="ar-SA"/>
              </w:rPr>
            </w:pPr>
            <w:r>
              <w:rPr>
                <w:rFonts w:eastAsia="Arial" w:cs="" w:cstheme="minorBidi" w:eastAsiaTheme="minorHAnsi"/>
                <w:b/>
                <w:bCs/>
                <w:color w:val="auto"/>
                <w:kern w:val="0"/>
                <w:sz w:val="20"/>
                <w:szCs w:val="20"/>
                <w:lang w:val="en-US" w:eastAsia="en-US" w:bidi="ar-SA"/>
              </w:rPr>
              <w:t>Material-to-remove</w:t>
            </w:r>
          </w:p>
        </w:tc>
        <w:tc>
          <w:tcPr>
            <w:tcW w:w="1987" w:type="dxa"/>
            <w:tcBorders/>
          </w:tcPr>
          <w:p>
            <w:pPr>
              <w:pStyle w:val="TableContents"/>
              <w:spacing w:before="0" w:after="200"/>
              <w:rPr>
                <w:rFonts w:ascii="Arial" w:hAnsi="Arial" w:eastAsia="Arial" w:cs=""/>
                <w:kern w:val="0"/>
                <w:lang w:val="en-US" w:eastAsia="en-US" w:bidi="ar-SA"/>
              </w:rPr>
            </w:pPr>
            <w:r>
              <w:rPr>
                <w:b w:val="false"/>
                <w:bCs w:val="false"/>
                <w:sz w:val="20"/>
                <w:szCs w:val="20"/>
              </w:rPr>
              <w:t>tool stamped every jog step</w:t>
            </w:r>
          </w:p>
        </w:tc>
        <w:tc>
          <w:tcPr>
            <w:tcW w:w="2333"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materialized</w:t>
            </w:r>
            <w:r>
              <w:rPr>
                <w:rFonts w:eastAsia="Arial" w:cs=""/>
                <w:b w:val="false"/>
                <w:bCs w:val="false"/>
                <w:kern w:val="0"/>
                <w:sz w:val="20"/>
                <w:szCs w:val="20"/>
                <w:lang w:val="en-US" w:eastAsia="en-US" w:bidi="ar-SA"/>
              </w:rPr>
              <w:t xml:space="preserve"> - swept volume written to a buffer</w:t>
            </w:r>
          </w:p>
        </w:tc>
        <w:tc>
          <w:tcPr>
            <w:tcW w:w="1892"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none</w:t>
            </w:r>
            <w:r>
              <w:rPr>
                <w:rFonts w:eastAsia="Arial" w:cs=""/>
                <w:b w:val="false"/>
                <w:bCs w:val="false"/>
                <w:kern w:val="0"/>
                <w:sz w:val="20"/>
                <w:szCs w:val="20"/>
                <w:lang w:val="en-US" w:eastAsia="en-US" w:bidi="ar-SA"/>
              </w:rPr>
              <w:t xml:space="preserve"> - O(1) Z-envelope per column, on the fly</w:t>
            </w:r>
          </w:p>
        </w:tc>
        <w:tc>
          <w:tcPr>
            <w:tcW w:w="1915" w:type="dxa"/>
            <w:tcBorders/>
          </w:tcPr>
          <w:p>
            <w:pPr>
              <w:pStyle w:val="TableContents"/>
              <w:spacing w:before="0" w:after="200"/>
              <w:rPr>
                <w:rFonts w:ascii="Arial" w:hAnsi="Arial" w:eastAsia="Arial" w:cs=""/>
                <w:kern w:val="0"/>
                <w:lang w:val="en-US" w:eastAsia="en-US" w:bidi="ar-SA"/>
              </w:rPr>
            </w:pPr>
            <w:r>
              <w:rPr>
                <w:b w:val="false"/>
                <w:bCs w:val="false"/>
                <w:sz w:val="20"/>
                <w:szCs w:val="20"/>
              </w:rPr>
              <w:t>same as S2</w:t>
            </w:r>
          </w:p>
        </w:tc>
      </w:tr>
      <w:tr>
        <w:trPr/>
        <w:tc>
          <w:tcPr>
            <w:tcW w:w="2355" w:type="dxa"/>
            <w:tcBorders/>
          </w:tcPr>
          <w:p>
            <w:pPr>
              <w:pStyle w:val="TableContents"/>
              <w:suppressAutoHyphens w:val="true"/>
              <w:bidi w:val="0"/>
              <w:spacing w:before="0" w:after="200"/>
              <w:jc w:val="left"/>
              <w:rPr>
                <w:rFonts w:ascii="Arial" w:hAnsi="Arial" w:eastAsia="Arial" w:cs="" w:asciiTheme="minorHAnsi" w:cstheme="minorBidi" w:eastAsiaTheme="minorHAnsi" w:hAnsiTheme="minorHAnsi"/>
                <w:b/>
                <w:bCs/>
                <w:color w:val="auto"/>
                <w:kern w:val="0"/>
                <w:sz w:val="20"/>
                <w:szCs w:val="20"/>
                <w:lang w:val="en-US" w:eastAsia="en-US" w:bidi="ar-SA"/>
              </w:rPr>
            </w:pPr>
            <w:r>
              <w:rPr>
                <w:rFonts w:eastAsia="Arial" w:cs="" w:cstheme="minorBidi" w:eastAsiaTheme="minorHAnsi"/>
                <w:b/>
                <w:bCs/>
                <w:color w:val="auto"/>
                <w:kern w:val="0"/>
                <w:sz w:val="20"/>
                <w:szCs w:val="20"/>
                <w:lang w:val="en-US" w:eastAsia="en-US" w:bidi="ar-SA"/>
              </w:rPr>
              <w:t>Resident working set</w:t>
            </w:r>
          </w:p>
        </w:tc>
        <w:tc>
          <w:tcPr>
            <w:tcW w:w="1987" w:type="dxa"/>
            <w:tcBorders/>
          </w:tcPr>
          <w:p>
            <w:pPr>
              <w:pStyle w:val="TableContents"/>
              <w:spacing w:before="0" w:after="200"/>
              <w:rPr>
                <w:rFonts w:ascii="Arial" w:hAnsi="Arial" w:eastAsia="Arial" w:cs=""/>
                <w:kern w:val="0"/>
                <w:lang w:val="en-US" w:eastAsia="en-US" w:bidi="ar-SA"/>
              </w:rPr>
            </w:pPr>
            <w:r>
              <w:rPr>
                <w:b w:val="false"/>
                <w:bCs w:val="false"/>
                <w:sz w:val="20"/>
                <w:szCs w:val="20"/>
              </w:rPr>
              <w:t>128 MB flat</w:t>
            </w:r>
          </w:p>
        </w:tc>
        <w:tc>
          <w:tcPr>
            <w:tcW w:w="2333"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256 MB</w:t>
            </w:r>
            <w:r>
              <w:rPr>
                <w:rFonts w:eastAsia="Arial" w:cs=""/>
                <w:b w:val="false"/>
                <w:bCs w:val="false"/>
                <w:kern w:val="0"/>
                <w:sz w:val="20"/>
                <w:szCs w:val="20"/>
                <w:lang w:val="en-US" w:eastAsia="en-US" w:bidi="ar-SA"/>
              </w:rPr>
              <w:t xml:space="preserve"> - 128 MB stock + a 128 MB swept twin</w:t>
            </w:r>
          </w:p>
        </w:tc>
        <w:tc>
          <w:tcPr>
            <w:tcW w:w="1892"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128 MB</w:t>
            </w:r>
            <w:r>
              <w:rPr>
                <w:rFonts w:eastAsia="Arial" w:cs=""/>
                <w:b w:val="false"/>
                <w:bCs w:val="false"/>
                <w:kern w:val="0"/>
                <w:sz w:val="20"/>
                <w:szCs w:val="20"/>
                <w:lang w:val="en-US" w:eastAsia="en-US" w:bidi="ar-SA"/>
              </w:rPr>
              <w:t xml:space="preserve"> (no twin)</w:t>
            </w:r>
          </w:p>
        </w:tc>
        <w:tc>
          <w:tcPr>
            <w:tcW w:w="1915"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8 MB</w:t>
            </w:r>
            <w:r>
              <w:rPr>
                <w:rFonts w:eastAsia="Arial" w:cs=""/>
                <w:b w:val="false"/>
                <w:bCs w:val="false"/>
                <w:kern w:val="0"/>
                <w:sz w:val="20"/>
                <w:szCs w:val="20"/>
                <w:lang w:val="en-US" w:eastAsia="en-US" w:bidi="ar-SA"/>
              </w:rPr>
              <w:t xml:space="preserve"> sparse for localized work (~15×), else 128 MB</w:t>
            </w:r>
          </w:p>
        </w:tc>
      </w:tr>
      <w:tr>
        <w:trPr/>
        <w:tc>
          <w:tcPr>
            <w:tcW w:w="2355" w:type="dxa"/>
            <w:tcBorders/>
          </w:tcPr>
          <w:p>
            <w:pPr>
              <w:pStyle w:val="TableContents"/>
              <w:suppressAutoHyphens w:val="true"/>
              <w:bidi w:val="0"/>
              <w:spacing w:before="0" w:after="200"/>
              <w:jc w:val="left"/>
              <w:rPr>
                <w:rFonts w:ascii="Arial" w:hAnsi="Arial" w:eastAsia="Arial" w:cs="" w:asciiTheme="minorHAnsi" w:cstheme="minorBidi" w:eastAsiaTheme="minorHAnsi" w:hAnsiTheme="minorHAnsi"/>
                <w:b/>
                <w:bCs/>
                <w:color w:val="auto"/>
                <w:kern w:val="0"/>
                <w:sz w:val="20"/>
                <w:szCs w:val="20"/>
                <w:lang w:val="en-US" w:eastAsia="en-US" w:bidi="ar-SA"/>
              </w:rPr>
            </w:pPr>
            <w:r>
              <w:rPr>
                <w:rFonts w:eastAsia="Arial" w:cs="" w:cstheme="minorBidi" w:eastAsiaTheme="minorHAnsi"/>
                <w:b/>
                <w:bCs/>
                <w:color w:val="auto"/>
                <w:kern w:val="0"/>
                <w:sz w:val="20"/>
                <w:szCs w:val="20"/>
                <w:lang w:val="en-US" w:eastAsia="en-US" w:bidi="ar-SA"/>
              </w:rPr>
              <w:t>Result assembly</w:t>
            </w:r>
          </w:p>
        </w:tc>
        <w:tc>
          <w:tcPr>
            <w:tcW w:w="1987" w:type="dxa"/>
            <w:tcBorders/>
          </w:tcPr>
          <w:p>
            <w:pPr>
              <w:pStyle w:val="TableContents"/>
              <w:spacing w:before="0" w:after="200"/>
              <w:rPr>
                <w:rFonts w:ascii="Arial" w:hAnsi="Arial" w:eastAsia="Arial" w:cs=""/>
                <w:kern w:val="0"/>
                <w:lang w:val="en-US" w:eastAsia="en-US" w:bidi="ar-SA"/>
              </w:rPr>
            </w:pPr>
            <w:r>
              <w:rPr>
                <w:b w:val="false"/>
                <w:bCs w:val="false"/>
                <w:sz w:val="20"/>
                <w:szCs w:val="20"/>
              </w:rPr>
              <w:t>separate output + per-step 12 MB stock copy</w:t>
            </w:r>
          </w:p>
        </w:tc>
        <w:tc>
          <w:tcPr>
            <w:tcW w:w="2333" w:type="dxa"/>
            <w:tcBorders/>
          </w:tcPr>
          <w:p>
            <w:pPr>
              <w:pStyle w:val="TableContents"/>
              <w:spacing w:before="0" w:after="200"/>
              <w:rPr>
                <w:rFonts w:ascii="Arial" w:hAnsi="Arial" w:eastAsia="Arial" w:cs=""/>
                <w:kern w:val="0"/>
                <w:lang w:val="en-US" w:eastAsia="en-US" w:bidi="ar-SA"/>
              </w:rPr>
            </w:pPr>
            <w:r>
              <w:rPr>
                <w:b w:val="false"/>
                <w:bCs w:val="false"/>
                <w:sz w:val="20"/>
                <w:szCs w:val="20"/>
              </w:rPr>
              <w:t>second pass reads the twin, subtracts</w:t>
            </w:r>
          </w:p>
        </w:tc>
        <w:tc>
          <w:tcPr>
            <w:tcW w:w="1892"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in place</w:t>
            </w:r>
            <w:r>
              <w:rPr>
                <w:rFonts w:eastAsia="Arial" w:cs=""/>
                <w:b w:val="false"/>
                <w:bCs w:val="false"/>
                <w:kern w:val="0"/>
                <w:sz w:val="20"/>
                <w:szCs w:val="20"/>
                <w:lang w:val="en-US" w:eastAsia="en-US" w:bidi="ar-SA"/>
              </w:rPr>
              <w:t xml:space="preserve"> in the one working buffer</w:t>
            </w:r>
          </w:p>
        </w:tc>
        <w:tc>
          <w:tcPr>
            <w:tcW w:w="1915" w:type="dxa"/>
            <w:tcBorders/>
          </w:tcPr>
          <w:p>
            <w:pPr>
              <w:pStyle w:val="TableContents"/>
              <w:spacing w:before="0" w:after="200"/>
              <w:rPr>
                <w:rFonts w:ascii="Arial" w:hAnsi="Arial" w:eastAsia="Arial" w:cs=""/>
                <w:kern w:val="0"/>
                <w:lang w:val="en-US" w:eastAsia="en-US" w:bidi="ar-SA"/>
              </w:rPr>
            </w:pPr>
            <w:r>
              <w:rPr>
                <w:b w:val="false"/>
                <w:bCs w:val="false"/>
                <w:sz w:val="20"/>
                <w:szCs w:val="20"/>
              </w:rPr>
              <w:t>same as S2</w:t>
            </w:r>
          </w:p>
        </w:tc>
      </w:tr>
      <w:tr>
        <w:trPr/>
        <w:tc>
          <w:tcPr>
            <w:tcW w:w="2355" w:type="dxa"/>
            <w:tcBorders/>
          </w:tcPr>
          <w:p>
            <w:pPr>
              <w:pStyle w:val="TableContents"/>
              <w:suppressAutoHyphens w:val="true"/>
              <w:bidi w:val="0"/>
              <w:spacing w:before="0" w:after="200"/>
              <w:jc w:val="left"/>
              <w:rPr>
                <w:rFonts w:ascii="Arial" w:hAnsi="Arial" w:eastAsia="Arial" w:cs="" w:asciiTheme="minorHAnsi" w:cstheme="minorBidi" w:eastAsiaTheme="minorHAnsi" w:hAnsiTheme="minorHAnsi"/>
                <w:b/>
                <w:bCs/>
                <w:color w:val="auto"/>
                <w:kern w:val="0"/>
                <w:sz w:val="20"/>
                <w:szCs w:val="20"/>
                <w:lang w:val="en-US" w:eastAsia="en-US" w:bidi="ar-SA"/>
              </w:rPr>
            </w:pPr>
            <w:r>
              <w:rPr>
                <w:rFonts w:eastAsia="Arial" w:cs="" w:cstheme="minorBidi" w:eastAsiaTheme="minorHAnsi"/>
                <w:b/>
                <w:bCs/>
                <w:color w:val="auto"/>
                <w:kern w:val="0"/>
                <w:sz w:val="20"/>
                <w:szCs w:val="20"/>
                <w:lang w:val="en-US" w:eastAsia="en-US" w:bidi="ar-SA"/>
              </w:rPr>
              <w:t>Read-back transfer</w:t>
            </w:r>
          </w:p>
        </w:tc>
        <w:tc>
          <w:tcPr>
            <w:tcW w:w="1987" w:type="dxa"/>
            <w:tcBorders/>
          </w:tcPr>
          <w:p>
            <w:pPr>
              <w:pStyle w:val="TableContents"/>
              <w:spacing w:before="0" w:after="200"/>
              <w:rPr>
                <w:rFonts w:ascii="Arial" w:hAnsi="Arial" w:eastAsia="Arial" w:cs=""/>
                <w:kern w:val="0"/>
                <w:lang w:val="en-US" w:eastAsia="en-US" w:bidi="ar-SA"/>
              </w:rPr>
            </w:pPr>
            <w:r>
              <w:rPr>
                <w:b w:val="false"/>
                <w:bCs w:val="false"/>
                <w:sz w:val="20"/>
                <w:szCs w:val="20"/>
              </w:rPr>
              <w:t>128 MB unpacked</w:t>
            </w:r>
          </w:p>
        </w:tc>
        <w:tc>
          <w:tcPr>
            <w:tcW w:w="2333" w:type="dxa"/>
            <w:tcBorders/>
          </w:tcPr>
          <w:p>
            <w:pPr>
              <w:pStyle w:val="TableContents"/>
              <w:spacing w:before="0" w:after="200"/>
              <w:rPr>
                <w:rFonts w:ascii="Arial" w:hAnsi="Arial" w:eastAsia="Arial" w:cs=""/>
                <w:kern w:val="0"/>
                <w:lang w:val="en-US" w:eastAsia="en-US" w:bidi="ar-SA"/>
              </w:rPr>
            </w:pPr>
            <w:r>
              <w:rPr>
                <w:b w:val="false"/>
                <w:bCs w:val="false"/>
                <w:sz w:val="20"/>
                <w:szCs w:val="20"/>
              </w:rPr>
              <w:t>8 MB GPU-compacted</w:t>
            </w:r>
          </w:p>
        </w:tc>
        <w:tc>
          <w:tcPr>
            <w:tcW w:w="1892"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8 MB</w:t>
            </w:r>
            <w:r>
              <w:rPr>
                <w:rFonts w:eastAsia="Arial" w:cs=""/>
                <w:b w:val="false"/>
                <w:bCs w:val="false"/>
                <w:kern w:val="0"/>
                <w:sz w:val="20"/>
                <w:szCs w:val="20"/>
                <w:lang w:val="en-US" w:eastAsia="en-US" w:bidi="ar-SA"/>
              </w:rPr>
              <w:t xml:space="preserve"> GPU-compacted (~16×)</w:t>
            </w:r>
          </w:p>
        </w:tc>
        <w:tc>
          <w:tcPr>
            <w:tcW w:w="1915" w:type="dxa"/>
            <w:tcBorders/>
          </w:tcPr>
          <w:p>
            <w:pPr>
              <w:pStyle w:val="TableContents"/>
              <w:spacing w:before="0" w:after="200"/>
              <w:rPr>
                <w:rFonts w:ascii="Arial" w:hAnsi="Arial" w:eastAsia="Arial" w:cs=""/>
                <w:kern w:val="0"/>
                <w:lang w:val="en-US" w:eastAsia="en-US" w:bidi="ar-SA"/>
              </w:rPr>
            </w:pPr>
            <w:r>
              <w:rPr>
                <w:b w:val="false"/>
                <w:bCs w:val="false"/>
                <w:sz w:val="20"/>
                <w:szCs w:val="20"/>
              </w:rPr>
              <w:t>same as S2</w:t>
            </w:r>
          </w:p>
        </w:tc>
      </w:tr>
      <w:tr>
        <w:trPr/>
        <w:tc>
          <w:tcPr>
            <w:tcW w:w="2355" w:type="dxa"/>
            <w:tcBorders/>
          </w:tcPr>
          <w:p>
            <w:pPr>
              <w:pStyle w:val="TableContents"/>
              <w:suppressAutoHyphens w:val="true"/>
              <w:bidi w:val="0"/>
              <w:spacing w:before="0" w:after="200"/>
              <w:jc w:val="left"/>
              <w:rPr>
                <w:rFonts w:ascii="Arial" w:hAnsi="Arial" w:eastAsia="Arial" w:cs="" w:asciiTheme="minorHAnsi" w:cstheme="minorBidi" w:eastAsiaTheme="minorHAnsi" w:hAnsiTheme="minorHAnsi"/>
                <w:b/>
                <w:bCs/>
                <w:color w:val="auto"/>
                <w:kern w:val="0"/>
                <w:sz w:val="20"/>
                <w:szCs w:val="20"/>
                <w:lang w:val="en-US" w:eastAsia="en-US" w:bidi="ar-SA"/>
              </w:rPr>
            </w:pPr>
            <w:r>
              <w:rPr>
                <w:rFonts w:eastAsia="Arial" w:cs="" w:cstheme="minorBidi" w:eastAsiaTheme="minorHAnsi"/>
                <w:b/>
                <w:bCs/>
                <w:color w:val="auto"/>
                <w:kern w:val="0"/>
                <w:sz w:val="20"/>
                <w:szCs w:val="20"/>
                <w:lang w:val="en-US" w:eastAsia="en-US" w:bidi="ar-SA"/>
              </w:rPr>
              <w:t>Per-carve write traffic</w:t>
            </w:r>
          </w:p>
        </w:tc>
        <w:tc>
          <w:tcPr>
            <w:tcW w:w="1987" w:type="dxa"/>
            <w:tcBorders/>
          </w:tcPr>
          <w:p>
            <w:pPr>
              <w:pStyle w:val="TableContents"/>
              <w:spacing w:before="0" w:after="200"/>
              <w:rPr>
                <w:rFonts w:ascii="Arial" w:hAnsi="Arial" w:eastAsia="Arial" w:cs=""/>
                <w:kern w:val="0"/>
                <w:lang w:val="en-US" w:eastAsia="en-US" w:bidi="ar-SA"/>
              </w:rPr>
            </w:pPr>
            <w:r>
              <w:rPr>
                <w:b w:val="false"/>
                <w:bCs w:val="false"/>
                <w:sz w:val="20"/>
                <w:szCs w:val="20"/>
              </w:rPr>
              <w:t>whole grid, full footprint</w:t>
            </w:r>
          </w:p>
        </w:tc>
        <w:tc>
          <w:tcPr>
            <w:tcW w:w="2333" w:type="dxa"/>
            <w:tcBorders/>
          </w:tcPr>
          <w:p>
            <w:pPr>
              <w:pStyle w:val="TableContents"/>
              <w:spacing w:before="0" w:after="200"/>
              <w:rPr>
                <w:rFonts w:ascii="Arial" w:hAnsi="Arial" w:eastAsia="Arial" w:cs=""/>
                <w:kern w:val="0"/>
                <w:lang w:val="en-US" w:eastAsia="en-US" w:bidi="ar-SA"/>
              </w:rPr>
            </w:pPr>
            <w:r>
              <w:rPr>
                <w:b w:val="false"/>
                <w:bCs w:val="false"/>
                <w:sz w:val="20"/>
                <w:szCs w:val="20"/>
              </w:rPr>
              <w:t>swept-AABB columns, twice (write twin + subtract)</w:t>
            </w:r>
          </w:p>
        </w:tc>
        <w:tc>
          <w:tcPr>
            <w:tcW w:w="1892" w:type="dxa"/>
            <w:tcBorders/>
          </w:tcPr>
          <w:p>
            <w:pPr>
              <w:pStyle w:val="TableContents"/>
              <w:spacing w:before="0" w:after="200"/>
              <w:rPr>
                <w:rFonts w:ascii="Arial" w:hAnsi="Arial" w:eastAsia="Arial" w:cs=""/>
                <w:kern w:val="0"/>
                <w:lang w:val="en-US" w:eastAsia="en-US" w:bidi="ar-SA"/>
              </w:rPr>
            </w:pPr>
            <w:r>
              <w:rPr>
                <w:b w:val="false"/>
                <w:bCs w:val="false"/>
                <w:sz w:val="20"/>
                <w:szCs w:val="20"/>
              </w:rPr>
              <w:t>swept-AABB columns, once</w:t>
            </w:r>
          </w:p>
        </w:tc>
        <w:tc>
          <w:tcPr>
            <w:tcW w:w="1915" w:type="dxa"/>
            <w:tcBorders/>
          </w:tcPr>
          <w:p>
            <w:pPr>
              <w:pStyle w:val="TableContents"/>
              <w:spacing w:before="0" w:after="200"/>
              <w:rPr>
                <w:rFonts w:ascii="Arial" w:hAnsi="Arial" w:eastAsia="Arial" w:cs=""/>
                <w:kern w:val="0"/>
                <w:lang w:val="en-US" w:eastAsia="en-US" w:bidi="ar-SA"/>
              </w:rPr>
            </w:pPr>
            <w:r>
              <w:rPr>
                <w:rFonts w:eastAsia="Arial" w:cs=""/>
                <w:b w:val="false"/>
                <w:bCs w:val="false"/>
                <w:kern w:val="0"/>
                <w:sz w:val="20"/>
                <w:szCs w:val="20"/>
                <w:lang w:val="en-US" w:eastAsia="en-US" w:bidi="ar-SA"/>
              </w:rPr>
              <w:t>swept tube only</w:t>
            </w:r>
            <w:r>
              <w:rPr>
                <w:rFonts w:eastAsia="Arial" w:cs=""/>
                <w:b w:val="false"/>
                <w:bCs w:val="false"/>
                <w:kern w:val="0"/>
                <w:sz w:val="20"/>
                <w:szCs w:val="20"/>
                <w:lang w:val="en-US" w:eastAsia="en-US" w:bidi="ar-SA"/>
              </w:rPr>
              <w:t xml:space="preserve"> - off-band / off-Z columns skipped</w:t>
            </w:r>
          </w:p>
        </w:tc>
      </w:tr>
    </w:tbl>
    <w:p>
      <w:pPr>
        <w:pStyle w:val="BodyText"/>
        <w:jc w:val="both"/>
        <w:rPr/>
      </w:pPr>
      <w:r>
        <w:rPr/>
      </w:r>
    </w:p>
    <w:p>
      <w:pPr>
        <w:pStyle w:val="BodyText"/>
        <w:jc w:val="both"/>
        <w:rPr/>
      </w:pPr>
      <w:r>
        <w:rPr>
          <w:b w:val="false"/>
          <w:bCs w:val="false"/>
        </w:rPr>
        <w:t xml:space="preserve">The fusion (S1→S2) is a memory decision as much as a speed one: the external-buffer baseline needs a full-size 128 MB twin of the working buffer to hold the materialized swept volume (2× resident), and round-trips the envelope through it, whereas the fused kernel keeps only an O(1) per-column envelope in registers - </w:t>
      </w:r>
      <w:r>
        <w:rPr/>
        <w:t>so it halves resident memory while also running 1.2–2.5× faster across the matrix, geomean ≈1.85× (§6.1), and 1.54× on the control (Table 2)</w:t>
      </w:r>
      <w:r>
        <w:rPr>
          <w:b w:val="false"/>
          <w:bCs w:val="false"/>
        </w:rPr>
        <w:t>. The memory wins up to S2 are unconditional (in-place single buffer, no per-step 12 MB stock copy, 8 MB compacted read-back); S3 adds a conditional footprint win tied to spatial locality (§6.2) and a write-traffic reduction tied to non-axis-aligned and in-air motion (§6.1). No step trades memory for speed: the two move together, because the simulator is bandwidth-bound (§7).</w:t>
      </w:r>
      <w:bookmarkEnd w:id="28"/>
    </w:p>
    <w:p>
      <w:pPr>
        <w:pStyle w:val="Heading3"/>
        <w:jc w:val="both"/>
        <w:rPr>
          <w:color w:val="000000"/>
        </w:rPr>
      </w:pPr>
      <w:bookmarkStart w:id="29" w:name="dead-write-back-on-active-columns"/>
      <w:r>
        <w:rPr>
          <w:color w:val="000000"/>
        </w:rPr>
        <w:t>6.4 Dead write-back on active columns</w:t>
      </w:r>
    </w:p>
    <w:p>
      <w:pPr>
        <w:pStyle w:val="FirstParagraph"/>
        <w:jc w:val="both"/>
        <w:rPr/>
      </w:pPr>
      <w:r>
        <w:rPr>
          <w:b w:val="false"/>
          <w:bCs w:val="false"/>
        </w:rPr>
        <w:t xml:space="preserve">Every processed column writes its full </w:t>
      </w:r>
      <w:r>
        <w:rPr>
          <w:rStyle w:val="VerbatimChar"/>
          <w:b w:val="false"/>
          <w:bCs w:val="false"/>
        </w:rPr>
        <w:t>MAX_TRANSITIONS</w:t>
      </w:r>
      <w:r>
        <w:rPr>
          <w:b w:val="false"/>
          <w:bCs w:val="false"/>
        </w:rPr>
        <w:t xml:space="preserve">-slot stride: </w:t>
      </w:r>
      <w:r>
        <w:rPr>
          <w:rStyle w:val="VerbatimChar"/>
          <w:b w:val="false"/>
          <w:bCs w:val="false"/>
        </w:rPr>
        <w:t>writeCount</w:t>
      </w:r>
      <w:r>
        <w:rPr>
          <w:b w:val="false"/>
          <w:bCs w:val="false"/>
        </w:rPr>
        <w:t xml:space="preserve"> real transitions, then zeros to the end (§4.4). Occupancy reads only the first </w:t>
      </w:r>
      <w:r>
        <w:rPr>
          <w:rStyle w:val="VerbatimChar"/>
          <w:b w:val="false"/>
          <w:bCs w:val="false"/>
        </w:rPr>
        <w:t>obj1_dataNum[col]</w:t>
      </w:r>
      <w:r>
        <w:rPr>
          <w:b w:val="false"/>
          <w:bCs w:val="false"/>
        </w:rPr>
        <w:t xml:space="preserve"> slots, so those zeros are dead - a typical active column has 2–4 transitions, i.e. ~8 useful bytes of the 128 written. Dropping the zero-fill (</w:t>
      </w:r>
      <w:r>
        <w:rPr>
          <w:rStyle w:val="VerbatimChar"/>
          <w:b w:val="false"/>
          <w:bCs w:val="false"/>
        </w:rPr>
        <w:t>AUTOCAM_SWEPT_ZEROFILL=0</w:t>
      </w:r>
      <w:r>
        <w:rPr>
          <w:b w:val="false"/>
          <w:bCs w:val="false"/>
        </w:rPr>
        <w:t xml:space="preserve">) is byte-identical (verified by a </w:t>
      </w:r>
      <w:r>
        <w:rPr>
          <w:rStyle w:val="VerbatimChar"/>
          <w:b w:val="false"/>
          <w:bCs w:val="false"/>
        </w:rPr>
        <w:t>.bin</w:t>
      </w:r>
      <w:r>
        <w:rPr>
          <w:b w:val="false"/>
          <w:bCs w:val="false"/>
        </w:rPr>
        <w:t xml:space="preserve"> diff over the whole suite) and removes that dead traffic on </w:t>
      </w:r>
      <w:r>
        <w:rPr>
          <w:b w:val="false"/>
          <w:bCs w:val="false"/>
          <w:i/>
          <w:iCs/>
        </w:rPr>
        <w:t>active</w:t>
      </w:r>
      <w:r>
        <w:rPr>
          <w:b w:val="false"/>
          <w:bCs w:val="false"/>
        </w:rPr>
        <w:t xml:space="preserve"> columns, the complement of tube pruning, which removes traffic on </w:t>
      </w:r>
      <w:r>
        <w:rPr>
          <w:b w:val="false"/>
          <w:bCs w:val="false"/>
          <w:i/>
          <w:iCs/>
        </w:rPr>
        <w:t>inactive</w:t>
      </w:r>
      <w:r>
        <w:rPr>
          <w:b w:val="false"/>
          <w:bCs w:val="false"/>
        </w:rPr>
        <w:t xml:space="preserve"> ones.</w:t>
      </w:r>
    </w:p>
    <w:p>
      <w:pPr>
        <w:pStyle w:val="BodyText"/>
        <w:jc w:val="both"/>
        <w:rPr>
          <w:b w:val="false"/>
          <w:bCs w:val="false"/>
        </w:rPr>
      </w:pPr>
      <w:r>
        <w:rPr>
          <w:b w:val="false"/>
          <w:bCs w:val="false"/>
        </w:rPr>
        <w:t>On the fused kernel (pruning off) it removes real write traffic. Table 5 gives one interleaved session with three configurations side by side, so every comparison below can be checked against it directly.</w:t>
      </w:r>
    </w:p>
    <w:p>
      <w:pPr>
        <w:pStyle w:val="CaptionedFigure"/>
        <w:rPr/>
      </w:pPr>
      <w:r>
        <w:rPr>
          <w:b/>
          <w:bCs/>
          <w:i w:val="false"/>
          <w:iCs w:val="false"/>
        </w:rPr>
        <w:t xml:space="preserve">Table 5 </w:t>
      </w:r>
      <w:r>
        <w:rPr>
          <w:i w:val="false"/>
          <w:iCs w:val="false"/>
        </w:rPr>
        <w:t xml:space="preserve">The zero-fill lever and the best available configuration, from one interleaved loop within the campaign </w:t>
      </w:r>
      <w:r>
        <w:rPr/>
        <w:t>(32-voxel tool, net carving ms, mean of ten campaigns ± sd, §5.4)</w:t>
      </w:r>
      <w:r>
        <w:rPr>
          <w:i w:val="false"/>
          <w:iCs w:val="false"/>
        </w:rPr>
        <w:t xml:space="preserve">. Absolute times differ from Tables 2–3 because this loop interleaves only cheap swept configs, so the GPU stays in a hotter clock state (§5.4); the comparisons of interest are within this table. The two S2 columns are byte-identical (verified by a </w:t>
      </w:r>
      <w:r>
        <w:rPr>
          <w:rStyle w:val="VerbatimChar"/>
          <w:i w:val="false"/>
          <w:iCs w:val="false"/>
        </w:rPr>
        <w:t>.bin</w:t>
      </w:r>
      <w:r>
        <w:rPr>
          <w:i w:val="false"/>
          <w:iCs w:val="false"/>
        </w:rPr>
        <w:t xml:space="preserve"> diff). </w:t>
      </w:r>
      <w:r>
        <w:rPr/>
        <w:t>The pruned kernel without zero-fill was measured in the same campaign and is discussed in the text.</w:t>
      </w:r>
    </w:p>
    <w:tbl>
      <w:tblPr>
        <w:tblStyle w:val="Table"/>
        <w:tblW w:w="485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188"/>
        <w:gridCol w:w="2189"/>
        <w:gridCol w:w="2189"/>
        <w:gridCol w:w="2189"/>
      </w:tblGrid>
      <w:tr>
        <w:trPr>
          <w:tblHeader w:val="true"/>
        </w:trPr>
        <w:tc>
          <w:tcPr>
            <w:tcW w:w="2188"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Workload</w:t>
            </w:r>
          </w:p>
        </w:tc>
        <w:tc>
          <w:tcPr>
            <w:tcW w:w="2189"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S2 (zero-fill)</w:t>
            </w:r>
          </w:p>
        </w:tc>
        <w:tc>
          <w:tcPr>
            <w:tcW w:w="2189"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S2 (no fill)</w:t>
            </w:r>
          </w:p>
        </w:tc>
        <w:tc>
          <w:tcPr>
            <w:tcW w:w="2189"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S3 (default)</w:t>
            </w:r>
          </w:p>
        </w:tc>
      </w:tr>
      <w:tr>
        <w:trPr/>
        <w:tc>
          <w:tcPr>
            <w:tcW w:w="2188" w:type="dxa"/>
            <w:tcBorders/>
            <w:vAlign w:val="center"/>
          </w:tcPr>
          <w:p>
            <w:pPr>
              <w:pStyle w:val="Compact"/>
              <w:widowControl/>
              <w:suppressAutoHyphens w:val="true"/>
              <w:spacing w:before="36" w:after="36"/>
              <w:jc w:val="both"/>
              <w:rPr>
                <w:rFonts w:ascii="Arial" w:hAnsi="Arial" w:eastAsia="Arial" w:cs=""/>
                <w:kern w:val="0"/>
                <w:sz w:val="24"/>
                <w:szCs w:val="24"/>
                <w:lang w:val="en-US" w:eastAsia="en-US" w:bidi="ar-SA"/>
              </w:rPr>
            </w:pPr>
            <w:r>
              <w:rPr>
                <w:rStyle w:val="VerbatimChar"/>
                <w:rFonts w:eastAsia="Arial" w:cs=""/>
                <w:kern w:val="0"/>
                <w:szCs w:val="24"/>
                <w:lang w:val="en-US" w:eastAsia="en-US" w:bidi="ar-SA"/>
              </w:rPr>
              <w:t>contour</w:t>
            </w:r>
          </w:p>
        </w:tc>
        <w:tc>
          <w:tcPr>
            <w:tcW w:w="2189" w:type="dxa"/>
            <w:tcBorders/>
            <w:vAlign w:val="center"/>
          </w:tcPr>
          <w:p>
            <w:pPr>
              <w:pStyle w:val="TableContents"/>
              <w:spacing w:before="0" w:after="200"/>
              <w:jc w:val="center"/>
              <w:rPr/>
            </w:pPr>
            <w:r>
              <w:rPr/>
              <w:t>7.32 ± 0.18</w:t>
            </w:r>
          </w:p>
        </w:tc>
        <w:tc>
          <w:tcPr>
            <w:tcW w:w="2189" w:type="dxa"/>
            <w:tcBorders/>
            <w:vAlign w:val="center"/>
          </w:tcPr>
          <w:p>
            <w:pPr>
              <w:pStyle w:val="TableContents"/>
              <w:spacing w:before="0" w:after="200"/>
              <w:jc w:val="center"/>
              <w:rPr/>
            </w:pPr>
            <w:r>
              <w:rPr/>
              <w:t>6.76 ± 0.22</w:t>
            </w:r>
          </w:p>
        </w:tc>
        <w:tc>
          <w:tcPr>
            <w:tcW w:w="2189" w:type="dxa"/>
            <w:tcBorders/>
            <w:vAlign w:val="center"/>
          </w:tcPr>
          <w:p>
            <w:pPr>
              <w:pStyle w:val="TableContents"/>
              <w:spacing w:before="0" w:after="200"/>
              <w:jc w:val="center"/>
              <w:rPr/>
            </w:pPr>
            <w:r>
              <w:rPr/>
              <w:t>6.57 ± 0.21</w:t>
            </w:r>
          </w:p>
        </w:tc>
      </w:tr>
      <w:tr>
        <w:trPr/>
        <w:tc>
          <w:tcPr>
            <w:tcW w:w="2188" w:type="dxa"/>
            <w:tcBorders/>
            <w:vAlign w:val="center"/>
          </w:tcPr>
          <w:p>
            <w:pPr>
              <w:pStyle w:val="Compact"/>
              <w:widowControl/>
              <w:suppressAutoHyphens w:val="true"/>
              <w:spacing w:before="36" w:after="36"/>
              <w:jc w:val="both"/>
              <w:rPr>
                <w:rFonts w:ascii="Arial" w:hAnsi="Arial" w:eastAsia="Arial" w:cs=""/>
                <w:kern w:val="0"/>
                <w:sz w:val="24"/>
                <w:szCs w:val="24"/>
                <w:lang w:val="en-US" w:eastAsia="en-US" w:bidi="ar-SA"/>
              </w:rPr>
            </w:pPr>
            <w:r>
              <w:rPr>
                <w:rStyle w:val="VerbatimChar"/>
                <w:rFonts w:eastAsia="Arial" w:cs=""/>
                <w:kern w:val="0"/>
                <w:szCs w:val="24"/>
                <w:lang w:val="en-US" w:eastAsia="en-US" w:bidi="ar-SA"/>
              </w:rPr>
              <w:t>pocket_axis</w:t>
            </w:r>
          </w:p>
        </w:tc>
        <w:tc>
          <w:tcPr>
            <w:tcW w:w="2189" w:type="dxa"/>
            <w:tcBorders/>
            <w:vAlign w:val="center"/>
          </w:tcPr>
          <w:p>
            <w:pPr>
              <w:pStyle w:val="TableContents"/>
              <w:spacing w:before="0" w:after="200"/>
              <w:jc w:val="center"/>
              <w:rPr/>
            </w:pPr>
            <w:r>
              <w:rPr/>
              <w:t>18.30 ± 0.50</w:t>
            </w:r>
          </w:p>
        </w:tc>
        <w:tc>
          <w:tcPr>
            <w:tcW w:w="2189" w:type="dxa"/>
            <w:tcBorders/>
            <w:vAlign w:val="center"/>
          </w:tcPr>
          <w:p>
            <w:pPr>
              <w:pStyle w:val="TableContents"/>
              <w:spacing w:before="0" w:after="200"/>
              <w:jc w:val="center"/>
              <w:rPr/>
            </w:pPr>
            <w:r>
              <w:rPr/>
              <w:t>15.68 ± 0.53</w:t>
            </w:r>
          </w:p>
        </w:tc>
        <w:tc>
          <w:tcPr>
            <w:tcW w:w="2189" w:type="dxa"/>
            <w:tcBorders/>
            <w:vAlign w:val="center"/>
          </w:tcPr>
          <w:p>
            <w:pPr>
              <w:pStyle w:val="TableContents"/>
              <w:spacing w:before="0" w:after="200"/>
              <w:jc w:val="center"/>
              <w:rPr/>
            </w:pPr>
            <w:r>
              <w:rPr/>
              <w:t>17.63 ± 0.35</w:t>
            </w:r>
          </w:p>
        </w:tc>
      </w:tr>
      <w:tr>
        <w:trPr/>
        <w:tc>
          <w:tcPr>
            <w:tcW w:w="2188" w:type="dxa"/>
            <w:tcBorders/>
            <w:vAlign w:val="center"/>
          </w:tcPr>
          <w:p>
            <w:pPr>
              <w:pStyle w:val="Compact"/>
              <w:widowControl/>
              <w:suppressAutoHyphens w:val="true"/>
              <w:spacing w:before="36" w:after="36"/>
              <w:jc w:val="both"/>
              <w:rPr>
                <w:rFonts w:ascii="Arial" w:hAnsi="Arial" w:eastAsia="Arial" w:cs=""/>
                <w:kern w:val="0"/>
                <w:sz w:val="24"/>
                <w:szCs w:val="24"/>
                <w:lang w:val="en-US" w:eastAsia="en-US" w:bidi="ar-SA"/>
              </w:rPr>
            </w:pPr>
            <w:r>
              <w:rPr>
                <w:rStyle w:val="VerbatimChar"/>
                <w:rFonts w:eastAsia="Arial" w:cs=""/>
                <w:kern w:val="0"/>
                <w:szCs w:val="24"/>
                <w:lang w:val="en-US" w:eastAsia="en-US" w:bidi="ar-SA"/>
              </w:rPr>
              <w:t>finishing</w:t>
            </w:r>
          </w:p>
        </w:tc>
        <w:tc>
          <w:tcPr>
            <w:tcW w:w="2189" w:type="dxa"/>
            <w:tcBorders/>
            <w:vAlign w:val="center"/>
          </w:tcPr>
          <w:p>
            <w:pPr>
              <w:pStyle w:val="TableContents"/>
              <w:spacing w:before="0" w:after="200"/>
              <w:jc w:val="center"/>
              <w:rPr/>
            </w:pPr>
            <w:r>
              <w:rPr/>
              <w:t>15.38 ± 0.42</w:t>
            </w:r>
          </w:p>
        </w:tc>
        <w:tc>
          <w:tcPr>
            <w:tcW w:w="2189" w:type="dxa"/>
            <w:tcBorders/>
            <w:vAlign w:val="center"/>
          </w:tcPr>
          <w:p>
            <w:pPr>
              <w:pStyle w:val="TableContents"/>
              <w:spacing w:before="0" w:after="200"/>
              <w:jc w:val="center"/>
              <w:rPr/>
            </w:pPr>
            <w:r>
              <w:rPr/>
              <w:t>13.04 ± 0.25</w:t>
            </w:r>
          </w:p>
        </w:tc>
        <w:tc>
          <w:tcPr>
            <w:tcW w:w="2189" w:type="dxa"/>
            <w:tcBorders/>
            <w:vAlign w:val="center"/>
          </w:tcPr>
          <w:p>
            <w:pPr>
              <w:pStyle w:val="TableContents"/>
              <w:spacing w:before="0" w:after="200"/>
              <w:jc w:val="center"/>
              <w:rPr/>
            </w:pPr>
            <w:r>
              <w:rPr/>
              <w:t>14.94 ± 0.37</w:t>
            </w:r>
          </w:p>
        </w:tc>
      </w:tr>
      <w:tr>
        <w:trPr/>
        <w:tc>
          <w:tcPr>
            <w:tcW w:w="2188" w:type="dxa"/>
            <w:tcBorders/>
            <w:vAlign w:val="center"/>
          </w:tcPr>
          <w:p>
            <w:pPr>
              <w:pStyle w:val="Compact"/>
              <w:widowControl/>
              <w:suppressAutoHyphens w:val="true"/>
              <w:spacing w:before="36" w:after="36"/>
              <w:jc w:val="both"/>
              <w:rPr>
                <w:rFonts w:ascii="Arial" w:hAnsi="Arial" w:eastAsia="Arial" w:cs=""/>
                <w:kern w:val="0"/>
                <w:sz w:val="24"/>
                <w:szCs w:val="24"/>
                <w:lang w:val="en-US" w:eastAsia="en-US" w:bidi="ar-SA"/>
              </w:rPr>
            </w:pPr>
            <w:r>
              <w:rPr>
                <w:rStyle w:val="VerbatimChar"/>
                <w:rFonts w:eastAsia="Arial" w:cs=""/>
                <w:kern w:val="0"/>
                <w:szCs w:val="24"/>
                <w:lang w:val="en-US" w:eastAsia="en-US" w:bidi="ar-SA"/>
              </w:rPr>
              <w:t>raster45</w:t>
            </w:r>
          </w:p>
        </w:tc>
        <w:tc>
          <w:tcPr>
            <w:tcW w:w="2189" w:type="dxa"/>
            <w:tcBorders/>
            <w:vAlign w:val="center"/>
          </w:tcPr>
          <w:p>
            <w:pPr>
              <w:pStyle w:val="TableContents"/>
              <w:spacing w:before="0" w:after="200"/>
              <w:jc w:val="center"/>
              <w:rPr/>
            </w:pPr>
            <w:r>
              <w:rPr/>
              <w:t>43.86 ± 1.05</w:t>
            </w:r>
          </w:p>
        </w:tc>
        <w:tc>
          <w:tcPr>
            <w:tcW w:w="2189" w:type="dxa"/>
            <w:tcBorders/>
            <w:vAlign w:val="center"/>
          </w:tcPr>
          <w:p>
            <w:pPr>
              <w:pStyle w:val="TableContents"/>
              <w:spacing w:before="0" w:after="200"/>
              <w:jc w:val="center"/>
              <w:rPr/>
            </w:pPr>
            <w:r>
              <w:rPr/>
              <w:t>34.05 ± 0.87</w:t>
            </w:r>
          </w:p>
        </w:tc>
        <w:tc>
          <w:tcPr>
            <w:tcW w:w="2189" w:type="dxa"/>
            <w:tcBorders/>
            <w:vAlign w:val="center"/>
          </w:tcPr>
          <w:p>
            <w:pPr>
              <w:pStyle w:val="TableContents"/>
              <w:spacing w:before="0" w:after="200"/>
              <w:jc w:val="center"/>
              <w:rPr/>
            </w:pPr>
            <w:r>
              <w:rPr/>
              <w:t>18.70 ± 0.54</w:t>
            </w:r>
          </w:p>
        </w:tc>
      </w:tr>
      <w:tr>
        <w:trPr/>
        <w:tc>
          <w:tcPr>
            <w:tcW w:w="2188" w:type="dxa"/>
            <w:tcBorders/>
            <w:vAlign w:val="center"/>
          </w:tcPr>
          <w:p>
            <w:pPr>
              <w:pStyle w:val="Compact"/>
              <w:widowControl/>
              <w:suppressAutoHyphens w:val="true"/>
              <w:spacing w:before="36" w:after="36"/>
              <w:jc w:val="both"/>
              <w:rPr>
                <w:rFonts w:ascii="Arial" w:hAnsi="Arial" w:eastAsia="Arial" w:cs=""/>
                <w:kern w:val="0"/>
                <w:sz w:val="24"/>
                <w:szCs w:val="24"/>
                <w:lang w:val="en-US" w:eastAsia="en-US" w:bidi="ar-SA"/>
              </w:rPr>
            </w:pPr>
            <w:r>
              <w:rPr>
                <w:rStyle w:val="VerbatimChar"/>
                <w:rFonts w:eastAsia="Arial" w:cs=""/>
                <w:kern w:val="0"/>
                <w:szCs w:val="24"/>
                <w:lang w:val="en-US" w:eastAsia="en-US" w:bidi="ar-SA"/>
              </w:rPr>
              <w:t>rapids</w:t>
            </w:r>
          </w:p>
        </w:tc>
        <w:tc>
          <w:tcPr>
            <w:tcW w:w="2189" w:type="dxa"/>
            <w:tcBorders/>
            <w:vAlign w:val="center"/>
          </w:tcPr>
          <w:p>
            <w:pPr>
              <w:pStyle w:val="TableContents"/>
              <w:spacing w:before="0" w:after="200"/>
              <w:jc w:val="center"/>
              <w:rPr/>
            </w:pPr>
            <w:r>
              <w:rPr/>
              <w:t>27.09 ± 0.79</w:t>
            </w:r>
          </w:p>
        </w:tc>
        <w:tc>
          <w:tcPr>
            <w:tcW w:w="2189" w:type="dxa"/>
            <w:tcBorders/>
            <w:vAlign w:val="center"/>
          </w:tcPr>
          <w:p>
            <w:pPr>
              <w:pStyle w:val="TableContents"/>
              <w:spacing w:before="0" w:after="200"/>
              <w:jc w:val="center"/>
              <w:rPr/>
            </w:pPr>
            <w:r>
              <w:rPr/>
              <w:t>24.16 ± 0.73</w:t>
            </w:r>
          </w:p>
        </w:tc>
        <w:tc>
          <w:tcPr>
            <w:tcW w:w="2189" w:type="dxa"/>
            <w:tcBorders/>
            <w:vAlign w:val="center"/>
          </w:tcPr>
          <w:p>
            <w:pPr>
              <w:pStyle w:val="TableContents"/>
              <w:spacing w:before="0" w:after="200"/>
              <w:jc w:val="center"/>
              <w:rPr/>
            </w:pPr>
            <w:r>
              <w:rPr/>
              <w:t>15.72 ± 0.51</w:t>
            </w:r>
          </w:p>
        </w:tc>
      </w:tr>
      <w:tr>
        <w:trPr/>
        <w:tc>
          <w:tcPr>
            <w:tcW w:w="2188" w:type="dxa"/>
            <w:tcBorders/>
            <w:vAlign w:val="center"/>
          </w:tcPr>
          <w:p>
            <w:pPr>
              <w:pStyle w:val="Compact"/>
              <w:widowControl/>
              <w:suppressAutoHyphens w:val="true"/>
              <w:spacing w:before="36" w:after="36"/>
              <w:jc w:val="both"/>
              <w:rPr>
                <w:rFonts w:ascii="Arial" w:hAnsi="Arial" w:eastAsia="Arial" w:cs=""/>
                <w:kern w:val="0"/>
                <w:sz w:val="24"/>
                <w:szCs w:val="24"/>
                <w:lang w:val="en-US" w:eastAsia="en-US" w:bidi="ar-SA"/>
              </w:rPr>
            </w:pPr>
            <w:r>
              <w:rPr>
                <w:rStyle w:val="VerbatimChar"/>
                <w:rFonts w:eastAsia="Arial" w:cs=""/>
                <w:kern w:val="0"/>
                <w:szCs w:val="24"/>
                <w:lang w:val="en-US" w:eastAsia="en-US" w:bidi="ar-SA"/>
              </w:rPr>
              <w:t>localized</w:t>
            </w:r>
          </w:p>
        </w:tc>
        <w:tc>
          <w:tcPr>
            <w:tcW w:w="2189" w:type="dxa"/>
            <w:tcBorders/>
            <w:vAlign w:val="center"/>
          </w:tcPr>
          <w:p>
            <w:pPr>
              <w:pStyle w:val="TableContents"/>
              <w:spacing w:before="0" w:after="200"/>
              <w:jc w:val="center"/>
              <w:rPr/>
            </w:pPr>
            <w:r>
              <w:rPr/>
              <w:t>6.99 ± 0.21</w:t>
            </w:r>
          </w:p>
        </w:tc>
        <w:tc>
          <w:tcPr>
            <w:tcW w:w="2189" w:type="dxa"/>
            <w:tcBorders/>
            <w:vAlign w:val="center"/>
          </w:tcPr>
          <w:p>
            <w:pPr>
              <w:pStyle w:val="TableContents"/>
              <w:spacing w:before="0" w:after="200"/>
              <w:jc w:val="center"/>
              <w:rPr/>
            </w:pPr>
            <w:r>
              <w:rPr/>
              <w:t>6.46 ± 0.14</w:t>
            </w:r>
          </w:p>
        </w:tc>
        <w:tc>
          <w:tcPr>
            <w:tcW w:w="2189" w:type="dxa"/>
            <w:tcBorders/>
            <w:vAlign w:val="center"/>
          </w:tcPr>
          <w:p>
            <w:pPr>
              <w:pStyle w:val="TableContents"/>
              <w:spacing w:before="0" w:after="200"/>
              <w:jc w:val="center"/>
              <w:rPr/>
            </w:pPr>
            <w:r>
              <w:rPr/>
              <w:t>5.40 ± 0.25</w:t>
            </w:r>
          </w:p>
        </w:tc>
      </w:tr>
    </w:tbl>
    <w:p>
      <w:pPr>
        <w:pStyle w:val="BodyText"/>
        <w:jc w:val="both"/>
        <w:rPr/>
      </w:pPr>
      <w:r>
        <w:rPr/>
      </w:r>
    </w:p>
    <w:p>
      <w:pPr>
        <w:pStyle w:val="BodyText"/>
        <w:jc w:val="both"/>
        <w:rPr/>
      </w:pPr>
      <w:r>
        <w:rPr>
          <w:b w:val="false"/>
          <w:bCs w:val="false"/>
        </w:rPr>
        <w:t xml:space="preserve">Dropping the zero-fill (columns one to two) is </w:t>
      </w:r>
      <w:r>
        <w:rPr/>
        <w:t>faster on every workload, from 7.6 % on the small localized program to 22 % on the 45° raster</w:t>
      </w:r>
      <w:r>
        <w:rPr>
          <w:b w:val="false"/>
          <w:bCs w:val="false"/>
        </w:rPr>
        <w:t>; the reduction is largest and most stable on the dense rasters (</w:t>
      </w:r>
      <w:r>
        <w:rPr>
          <w:rStyle w:val="VerbatimChar"/>
          <w:b w:val="false"/>
          <w:bCs w:val="false"/>
        </w:rPr>
        <w:t>finishing</w:t>
      </w:r>
      <w:r>
        <w:rPr>
          <w:b w:val="false"/>
          <w:bCs w:val="false"/>
        </w:rPr>
        <w:t xml:space="preserve"> and </w:t>
      </w:r>
      <w:r>
        <w:rPr>
          <w:rStyle w:val="VerbatimChar"/>
          <w:b w:val="false"/>
          <w:bCs w:val="false"/>
        </w:rPr>
        <w:t>raster45</w:t>
      </w:r>
      <w:r>
        <w:rPr>
          <w:b w:val="false"/>
          <w:bCs w:val="false"/>
        </w:rPr>
        <w:t xml:space="preserve">, 15–22%), where the active columns, and so the dead-write traffic, are most numerous. It is byte-identical, and it acts on </w:t>
      </w:r>
      <w:r>
        <w:rPr>
          <w:b w:val="false"/>
          <w:bCs w:val="false"/>
          <w:i/>
          <w:iCs/>
        </w:rPr>
        <w:t>active</w:t>
      </w:r>
      <w:r>
        <w:rPr>
          <w:b w:val="false"/>
          <w:bCs w:val="false"/>
        </w:rPr>
        <w:t xml:space="preserve"> columns - the complement of tube pruning’s </w:t>
      </w:r>
      <w:r>
        <w:rPr>
          <w:b w:val="false"/>
          <w:bCs w:val="false"/>
          <w:i/>
          <w:iCs/>
        </w:rPr>
        <w:t>inactive</w:t>
      </w:r>
      <w:r>
        <w:rPr>
          <w:b w:val="false"/>
          <w:bCs w:val="false"/>
        </w:rPr>
        <w:t>-column saving (§7). It is the active-column lever the paper otherwise lacked, and it reaches the axis-aligned case (</w:t>
      </w:r>
      <w:r>
        <w:rPr>
          <w:rStyle w:val="VerbatimChar"/>
          <w:b w:val="false"/>
          <w:bCs w:val="false"/>
        </w:rPr>
        <w:t>finishing</w:t>
      </w:r>
      <w:r>
        <w:rPr>
          <w:b w:val="false"/>
          <w:bCs w:val="false"/>
        </w:rPr>
        <w:t>) where pruning is neutral-to-negative (§6.1).</w:t>
      </w:r>
    </w:p>
    <w:p>
      <w:pPr>
        <w:pStyle w:val="BodyText"/>
        <w:jc w:val="both"/>
        <w:rPr/>
      </w:pPr>
      <w:r>
        <w:rPr>
          <w:b w:val="false"/>
          <w:bCs w:val="false"/>
        </w:rPr>
        <w:t xml:space="preserve">Columns two and three weigh the no-fill fused kernel against the shipped pruned default. On axis-aligned work the two are close: </w:t>
      </w:r>
      <w:r>
        <w:rPr>
          <w:rStyle w:val="VerbatimChar"/>
          <w:b w:val="false"/>
          <w:bCs w:val="false"/>
        </w:rPr>
        <w:t>finishing</w:t>
      </w:r>
      <w:r>
        <w:rPr>
          <w:b w:val="false"/>
          <w:bCs w:val="false"/>
        </w:rPr>
        <w:t xml:space="preserve"> is 15% faster without pruning, while </w:t>
      </w:r>
      <w:r>
        <w:rPr>
          <w:rStyle w:val="VerbatimChar"/>
          <w:b w:val="false"/>
          <w:bCs w:val="false"/>
        </w:rPr>
        <w:t>contour</w:t>
      </w:r>
      <w:r>
        <w:rPr>
          <w:b w:val="false"/>
          <w:bCs w:val="false"/>
        </w:rPr>
        <w:t xml:space="preserve"> and </w:t>
      </w:r>
      <w:r>
        <w:rPr>
          <w:rStyle w:val="VerbatimChar"/>
          <w:b w:val="false"/>
          <w:bCs w:val="false"/>
        </w:rPr>
        <w:t>pocket_axis</w:t>
      </w:r>
      <w:r>
        <w:rPr>
          <w:b w:val="false"/>
          <w:bCs w:val="false"/>
        </w:rPr>
        <w:t xml:space="preserve"> fall within about 12% either way (contour favours the pruned default, </w:t>
      </w:r>
      <w:r>
        <w:rPr>
          <w:rFonts w:ascii="Liberation Mono" w:hAnsi="Liberation Mono"/>
          <w:b w:val="false"/>
          <w:bCs w:val="false"/>
        </w:rPr>
        <w:t>pocket_axis</w:t>
      </w:r>
      <w:r>
        <w:rPr>
          <w:b w:val="false"/>
          <w:bCs w:val="false"/>
        </w:rPr>
        <w:t xml:space="preserve"> the no-fill kernel). On non-axis-aligned and air-heavy work the default is far ahead (1.8× on the 45° raster, 1.5× on the rapids). So the pruned default is the right all-rounder, the no-fill fused kernel is competitive only on dense axial work, and both are runtime-selectable.</w:t>
      </w:r>
    </w:p>
    <w:p>
      <w:pPr>
        <w:pStyle w:val="BodyText"/>
        <w:jc w:val="both"/>
        <w:rPr>
          <w:b w:val="false"/>
          <w:bCs w:val="false"/>
        </w:rPr>
      </w:pPr>
      <w:bookmarkEnd w:id="25"/>
      <w:bookmarkEnd w:id="29"/>
      <w:r>
        <w:rPr>
          <w:b w:val="false"/>
          <w:bCs w:val="false"/>
        </w:rPr>
        <w:t>Removing the zero-fill on the pruned kernel itself splits by workload, exactly as the complementarity of §7 predicts. Where pruning has already removed the off-band columns, on the diagonal and air-heavy programs, little dead-write traffic remains and dropping the zero-fill is now slightly counterproductive: raster45 and rapids both slow by about 3.5 %, a small but reproducible regression consistent with the partial-stride read-modify-write of §7. Where pruning finds nothing to skip, on the dense axis-aligned rasters, the active columns and their dead writes persist and removing the zero-fill still pays about 15 % (pocket_axis and finishing). We keep the zero-fill on by default and expose its removal as a toggle.</w:t>
      </w:r>
    </w:p>
    <w:p>
      <w:pPr>
        <w:pStyle w:val="Heading2"/>
        <w:jc w:val="both"/>
        <w:rPr/>
      </w:pPr>
      <w:r>
        <w:rPr>
          <w:color w:val="000000"/>
        </w:rPr>
        <w:t xml:space="preserve">7. </w:t>
      </w:r>
      <w:bookmarkStart w:id="30" w:name="discussion"/>
      <w:r>
        <w:rPr>
          <w:color w:val="000000"/>
        </w:rPr>
        <w:t>Discussion</w:t>
      </w:r>
    </w:p>
    <w:p>
      <w:pPr>
        <w:pStyle w:val="FirstParagraph"/>
        <w:jc w:val="both"/>
        <w:rPr>
          <w:b w:val="false"/>
          <w:bCs w:val="false"/>
          <w:i w:val="false"/>
          <w:iCs w:val="false"/>
        </w:rPr>
      </w:pPr>
      <w:r>
        <w:rPr>
          <w:b w:val="false"/>
          <w:bCs w:val="false"/>
          <w:i w:val="false"/>
          <w:iCs w:val="false"/>
        </w:rPr>
        <w:t>The bottleneck is memory-write bandwidth. A design A/B and a series of experiments, read together, localize it:</w:t>
      </w:r>
    </w:p>
    <w:p>
      <w:pPr>
        <w:pStyle w:val="Compact"/>
        <w:numPr>
          <w:ilvl w:val="0"/>
          <w:numId w:val="1"/>
        </w:numPr>
        <w:jc w:val="both"/>
        <w:rPr>
          <w:i w:val="false"/>
          <w:iCs w:val="false"/>
        </w:rPr>
      </w:pPr>
      <w:r>
        <w:rPr>
          <w:b w:val="false"/>
          <w:bCs w:val="false"/>
          <w:i w:val="false"/>
          <w:iCs w:val="false"/>
        </w:rPr>
        <w:t>Fusion vs. an external buffer (positive, §6.1).</w:t>
      </w:r>
      <w:r>
        <w:rPr>
          <w:b w:val="false"/>
          <w:bCs w:val="false"/>
          <w:i w:val="false"/>
          <w:iCs w:val="false"/>
        </w:rPr>
        <w:t xml:space="preserve"> Materializing the swept volume in a separate full-size buffer and subtracting it in a second pass round-trips the envelope through memory (write the twin, read it back) and doubles the resident set. Fusing the two - envelope on the fly, subtracted in place - </w:t>
      </w:r>
      <w:r>
        <w:rPr>
          <w:i w:val="false"/>
          <w:iCs w:val="false"/>
        </w:rPr>
        <w:t>removes that traffic and the twin, for a geomean ≈1.85× and half the memory</w:t>
      </w:r>
      <w:r>
        <w:rPr>
          <w:b w:val="false"/>
          <w:bCs w:val="false"/>
          <w:i w:val="false"/>
          <w:iCs w:val="false"/>
        </w:rPr>
        <w:t xml:space="preserve">. Removing </w:t>
      </w:r>
      <w:r>
        <w:rPr>
          <w:b w:val="false"/>
          <w:bCs w:val="false"/>
          <w:i w:val="false"/>
          <w:iCs w:val="false"/>
        </w:rPr>
        <w:t>memory traffic</w:t>
      </w:r>
      <w:r>
        <w:rPr>
          <w:b w:val="false"/>
          <w:bCs w:val="false"/>
          <w:i w:val="false"/>
          <w:iCs w:val="false"/>
        </w:rPr>
        <w:t xml:space="preserve"> pays; the swept-envelope </w:t>
      </w:r>
      <w:r>
        <w:rPr>
          <w:b w:val="false"/>
          <w:bCs w:val="false"/>
          <w:i w:val="false"/>
          <w:iCs w:val="false"/>
        </w:rPr>
        <w:t>compute</w:t>
      </w:r>
      <w:r>
        <w:rPr>
          <w:b w:val="false"/>
          <w:bCs w:val="false"/>
          <w:i w:val="false"/>
          <w:iCs w:val="false"/>
        </w:rPr>
        <w:t xml:space="preserve"> is identical in both, and it is not where the time goes.</w:t>
      </w:r>
    </w:p>
    <w:p>
      <w:pPr>
        <w:pStyle w:val="Compact"/>
        <w:numPr>
          <w:ilvl w:val="0"/>
          <w:numId w:val="1"/>
        </w:numPr>
        <w:jc w:val="both"/>
        <w:rPr/>
      </w:pPr>
      <w:r>
        <w:rPr>
          <w:b w:val="false"/>
          <w:bCs w:val="false"/>
          <w:i w:val="false"/>
          <w:iCs w:val="false"/>
        </w:rPr>
        <w:t xml:space="preserve">Range-query envelopes (negative). Precomputing per-tool directional Z-envelopes as range-minimum/maximum sparse tables makes the per-column envelope an </w:t>
      </w:r>
      <w:r>
        <w:rPr>
          <w:rStyle w:val="VerbatimChar"/>
          <w:rFonts w:ascii="Liberation Mono" w:hAnsi="Liberation Mono"/>
          <w:b w:val="false"/>
          <w:bCs w:val="false"/>
          <w:i w:val="false"/>
          <w:iCs w:val="false"/>
        </w:rPr>
        <w:t>O(1)</w:t>
      </w:r>
      <w:r>
        <w:rPr>
          <w:b w:val="false"/>
          <w:bCs w:val="false"/>
          <w:i w:val="false"/>
          <w:iCs w:val="false"/>
        </w:rPr>
        <w:t xml:space="preserve"> query instead of an </w:t>
      </w:r>
      <w:r>
        <w:rPr>
          <w:rStyle w:val="VerbatimChar"/>
          <w:rFonts w:ascii="Liberation Mono" w:hAnsi="Liberation Mono"/>
          <w:b w:val="false"/>
          <w:bCs w:val="false"/>
          <w:i w:val="false"/>
          <w:iCs w:val="false"/>
        </w:rPr>
        <w:t>O(sub-steps)</w:t>
      </w:r>
      <w:r>
        <w:rPr>
          <w:b w:val="false"/>
          <w:bCs w:val="false"/>
          <w:i w:val="false"/>
          <w:iCs w:val="false"/>
        </w:rPr>
        <w:t xml:space="preserve"> loop.</w:t>
      </w:r>
      <w:r>
        <w:rPr>
          <w:rFonts w:eastAsia="Arial" w:cs="" w:cstheme="minorBidi" w:eastAsiaTheme="minorHAnsi"/>
          <w:b w:val="false"/>
          <w:bCs w:val="false"/>
          <w:i w:val="false"/>
          <w:iCs w:val="false"/>
          <w:color w:val="auto"/>
          <w:kern w:val="0"/>
          <w:sz w:val="24"/>
          <w:szCs w:val="24"/>
          <w:lang w:val="en-US" w:eastAsia="en-US" w:bidi="ar-SA"/>
        </w:rPr>
        <w:t xml:space="preserve"> </w:t>
      </w:r>
      <w:r>
        <w:rPr>
          <w:rStyle w:val="SourceText"/>
          <w:rFonts w:eastAsia="Arial" w:cs="" w:cstheme="minorBidi" w:eastAsiaTheme="minorHAnsi"/>
          <w:b w:val="false"/>
          <w:bCs w:val="false"/>
          <w:i w:val="false"/>
          <w:iCs w:val="false"/>
          <w:color w:val="auto"/>
          <w:kern w:val="0"/>
          <w:sz w:val="24"/>
          <w:szCs w:val="24"/>
          <w:lang w:val="en-US" w:eastAsia="en-US" w:bidi="ar-SA"/>
        </w:rPr>
        <w:t>Implemented exactly, it gave a modest gain that did not justify the added structure, because it optimized compute, which is not the bottleneck, and was reverted</w:t>
      </w:r>
      <w:r>
        <w:rPr>
          <w:rFonts w:eastAsia="Arial" w:cs="" w:cstheme="minorBidi" w:eastAsiaTheme="minorHAnsi"/>
          <w:b w:val="false"/>
          <w:bCs w:val="false"/>
          <w:i w:val="false"/>
          <w:iCs w:val="false"/>
          <w:color w:val="auto"/>
          <w:kern w:val="0"/>
          <w:sz w:val="24"/>
          <w:szCs w:val="24"/>
          <w:lang w:val="en-US" w:eastAsia="en-US" w:bidi="ar-SA"/>
        </w:rPr>
        <w:t>.</w:t>
      </w:r>
    </w:p>
    <w:p>
      <w:pPr>
        <w:pStyle w:val="Compact"/>
        <w:numPr>
          <w:ilvl w:val="0"/>
          <w:numId w:val="1"/>
        </w:numPr>
        <w:jc w:val="both"/>
        <w:rPr>
          <w:b w:val="false"/>
          <w:bCs w:val="false"/>
          <w:i w:val="false"/>
          <w:iCs w:val="false"/>
        </w:rPr>
      </w:pPr>
      <w:r>
        <w:rPr>
          <w:b w:val="false"/>
          <w:bCs w:val="false"/>
          <w:i w:val="false"/>
          <w:iCs w:val="false"/>
        </w:rPr>
        <w:t>Tube pruning (positive, §3.6). Skipping the write-back of off-band and out-of-Z-range columns attacks memory-write traffic and gives 3.2–7.4× in its regime (stress benchmarks, Table 1). This is the complement of the previous result: the lever that pays removes memory traffic, not compute.</w:t>
      </w:r>
    </w:p>
    <w:p>
      <w:pPr>
        <w:pStyle w:val="Compact"/>
        <w:numPr>
          <w:ilvl w:val="0"/>
          <w:numId w:val="1"/>
        </w:numPr>
        <w:jc w:val="both"/>
        <w:rPr>
          <w:b w:val="false"/>
          <w:bCs w:val="false"/>
          <w:i w:val="false"/>
          <w:iCs w:val="false"/>
        </w:rPr>
      </w:pPr>
      <w:r>
        <w:rPr>
          <w:b w:val="false"/>
          <w:bCs w:val="false"/>
          <w:i w:val="false"/>
          <w:iCs w:val="false"/>
        </w:rPr>
        <w:t>Dead-write elimination (positive on the fused kernel, §6.4). The trailing zero-fill of unused column slots is dead write traffic (~30 of 32 slots on a typical column). Dropping it is byte-identical and gives 8–22% on the fused kernel - the active-column counterpart to tube pruning’s inactive-column saving, and the one lever that reaches the axis-aligned case where pruning does nothing. It confirms the write-traffic diagnosis from the opposite side. The two do not add: they reduce traffic to the same buffer on complementary column sets, so once pruning has thinned the active set the remaining dead-write traffic is small and its removal drops into the noise (§6.4).</w:t>
      </w:r>
    </w:p>
    <w:p>
      <w:pPr>
        <w:pStyle w:val="Compact"/>
        <w:numPr>
          <w:ilvl w:val="0"/>
          <w:numId w:val="1"/>
        </w:numPr>
        <w:jc w:val="both"/>
        <w:rPr/>
      </w:pPr>
      <w:r>
        <w:rPr>
          <w:b w:val="false"/>
          <w:bCs w:val="false"/>
          <w:i w:val="false"/>
          <w:iCs w:val="false"/>
        </w:rPr>
        <w:t xml:space="preserve">Oriented tiled dispatch (negative). Tempted to also avoid launching the off-band threads (each still does a counter read plus the early-out), we tiled the dispatch along the motion so it follows the band. Each tile reuses the full-segment envelope uniforms (so every column is computed identically); adjacent tiles overlap idempotently, separated by a barrier - keeping it byte-identical. The result was measurably slower than tube pruning alone: the per-tile barriers serialize the tiles and the joins double-process columns, and that synchronization cost exceeds the thread-launch saving, because tube pruning </w:t>
      </w:r>
      <w:r>
        <w:rPr>
          <w:rFonts w:eastAsia="Arial" w:cs="" w:cstheme="minorBidi" w:eastAsiaTheme="minorHAnsi"/>
          <w:b w:val="false"/>
          <w:bCs w:val="false"/>
          <w:i w:val="false"/>
          <w:iCs w:val="false"/>
          <w:color w:val="auto"/>
          <w:kern w:val="0"/>
          <w:sz w:val="24"/>
          <w:szCs w:val="24"/>
          <w:lang w:val="en-US" w:eastAsia="en-US" w:bidi="ar-SA"/>
        </w:rPr>
        <w:t xml:space="preserve">already made the off-band threads cheap (a read, no write). Reverted. </w:t>
      </w:r>
      <w:r>
        <w:rPr>
          <w:rStyle w:val="SourceText"/>
          <w:rFonts w:eastAsia="Arial" w:cs="" w:cstheme="minorBidi" w:eastAsiaTheme="minorHAnsi"/>
          <w:b w:val="false"/>
          <w:bCs w:val="false"/>
          <w:i w:val="false"/>
          <w:iCs w:val="false"/>
          <w:color w:val="auto"/>
          <w:kern w:val="0"/>
          <w:sz w:val="24"/>
          <w:szCs w:val="24"/>
          <w:lang w:val="en-US" w:eastAsia="en-US" w:bidi="ar-SA"/>
        </w:rPr>
        <w:t>Neither branch survives in the current build, so neither is measured on the benchmark set of §5.2 and neither appears in the tables; we report the direction of both results, which is what the diagnosis rests on, rather than figures from a configuration a reader could not reproduce.</w:t>
      </w:r>
    </w:p>
    <w:p>
      <w:pPr>
        <w:pStyle w:val="Compact"/>
        <w:numPr>
          <w:ilvl w:val="0"/>
          <w:numId w:val="1"/>
        </w:numPr>
        <w:jc w:val="both"/>
        <w:rPr>
          <w:b w:val="false"/>
          <w:bCs w:val="false"/>
          <w:i w:val="false"/>
          <w:iCs w:val="false"/>
        </w:rPr>
      </w:pPr>
      <w:r>
        <w:rPr>
          <w:b w:val="false"/>
          <w:bCs w:val="false"/>
          <w:i w:val="false"/>
          <w:iCs w:val="false"/>
        </w:rPr>
        <w:t>Sparse tiled working-set (footprint, not speed; §6.2). A tiled backend that keeps untouched tiles UNIFORM shrinks the working set to the touched fraction, but the per-carve traffic is bounded by the swept bounding box in either layout, so it only improves access locality (~1.1×) and reduces footprint conditionally on locality (~15× localized, nothing whole-stock). Working-set size is a memory/scale lever, not a bandwidth one.</w:t>
      </w:r>
    </w:p>
    <w:p>
      <w:pPr>
        <w:pStyle w:val="FirstParagraph"/>
        <w:jc w:val="both"/>
        <w:rPr>
          <w:b w:val="false"/>
          <w:bCs w:val="false"/>
          <w:i w:val="false"/>
          <w:iCs w:val="false"/>
        </w:rPr>
      </w:pPr>
      <w:r>
        <w:rPr>
          <w:b w:val="false"/>
          <w:bCs w:val="false"/>
          <w:i w:val="false"/>
          <w:iCs w:val="false"/>
        </w:rPr>
        <w:t>The pattern is consistent - a map of the bottleneck. Attacking compute (RMQ), launched-thread count (tiled dispatch) or working-set size (sparse tiling) yields diminishing, negative or footprint-only returns; the levers that pay all remove memory-write traffic on the over-dispatched bounding box - fusing away the swept-volume round-trip (S1→S2, always), tube pruning the off-band/off-Z write-back on inactive columns (S2→S3, where the dispatch over-covers), and dropping the dead zero-fill on active columns (§6.4, the fused kernel). The granularity that matters is the cache line: a column’s 128-byte stride is two 64-byte lines, and a full-stride store writes both with no read, so the payoff is in not touching a line - pruning skips both, the dead-write removal skips the second. That is also why pruning and dead-write removal overlap rather than add (same buffer, complementary columns), and why a partial store that still touches the first line by read-modify-write can fail to pay. The simulator is bbox-bandwidth-bound, at cache-line granularity: the productive optimization removes bbox lines touched. A dispatch-enqueue cost that stays ~0.4 ms whether a program has 9 or 202 segments corroborates that per-segment host overhead is not the limit.</w:t>
      </w:r>
    </w:p>
    <w:p>
      <w:pPr>
        <w:pStyle w:val="BodyText"/>
        <w:jc w:val="both"/>
        <w:rPr/>
      </w:pPr>
      <w:r>
        <w:rPr>
          <w:b w:val="false"/>
          <w:bCs w:val="false"/>
          <w:i w:val="false"/>
          <w:iCs w:val="false"/>
        </w:rPr>
        <w:t xml:space="preserve">Portability and the roofline argument. All measurements here are on one integrated GPU, which invites the question of whether the findings are hardware-specific. They are not, and the reason is structural rather than empirical. The per-column merge moves on the order of 128-256 bytes per active column - it rewrites all </w:t>
      </w:r>
      <w:r>
        <w:rPr>
          <w:rStyle w:val="VerbatimChar"/>
          <w:b w:val="false"/>
          <w:bCs w:val="false"/>
          <w:i w:val="false"/>
          <w:iCs w:val="false"/>
        </w:rPr>
        <w:t>MAX_TRANSITIONS = 32</w:t>
      </w:r>
      <w:r>
        <w:rPr>
          <w:b w:val="false"/>
          <w:bCs w:val="false"/>
          <w:i w:val="false"/>
          <w:iCs w:val="false"/>
        </w:rPr>
        <w:t xml:space="preserve"> slots and reads a comparable number - while performing only a few integer comparisons per 4-byte transition: an arithmetic intensity well below 1 op/byte, one to three orders of magnitude under the ridge point of any modern GPU roofline. A kernel this far into the memory-bound regime is memory-bound on every GPU; and because discrete NVIDIA parts carry a higher compute-to-bandwidth ratio than an integrated Intel GPU, the diagnosis becomes more true there, not less. The load-bearing claims are therefore architecture-invariant: the representation, the exactness argument, the “carving is a memory-movement problem” thesis, and the geometric workload dependence of tube pruning (a function of the AABB-to-swept-band ratio, not the silicon) all transfer unchanged. The pipeline also uses only portable compute primitives (SSBOs, </w:t>
      </w:r>
      <w:r>
        <w:rPr>
          <w:rStyle w:val="VerbatimChar"/>
          <w:b w:val="false"/>
          <w:bCs w:val="false"/>
          <w:i w:val="false"/>
          <w:iCs w:val="false"/>
        </w:rPr>
        <w:t>std430</w:t>
      </w:r>
      <w:r>
        <w:rPr>
          <w:b w:val="false"/>
          <w:bCs w:val="false"/>
          <w:i w:val="false"/>
          <w:iCs w:val="false"/>
        </w:rPr>
        <w:t>, dispatch, a storage barrier) - no subgroup intrinsics, tensor or ray-tracing cores - so a Vulkan or CUDA port is a direct transliteration of the same kernel.</w:t>
      </w:r>
    </w:p>
    <w:p>
      <w:pPr>
        <w:pStyle w:val="BodyText"/>
        <w:jc w:val="both"/>
        <w:rPr>
          <w:b w:val="false"/>
          <w:bCs w:val="false"/>
          <w:i w:val="false"/>
          <w:iCs w:val="false"/>
        </w:rPr>
      </w:pPr>
      <w:r>
        <w:rPr>
          <w:b w:val="false"/>
          <w:bCs w:val="false"/>
          <w:i w:val="false"/>
          <w:iCs w:val="false"/>
        </w:rPr>
        <w:t>A faster or discrete GPU changes magnitudes, not directions. Absolute carve times fall with bandwidth while the kernel stays bandwidth-bound; the fusion and pruning ratios shift because their fixed components (an extra pass and a barrier for fusion; a per-column branch for pruning) scale differently from the traffic they save - the fusion win is already largest where the carve is cheapest, and that fixed-cost fraction only grows as traffic gets faster. One optimization would become more valuable off the iGPU: the GPU-side read-back compaction (128 MB → 8 MB), because on a discrete card the read-back crosses PCIe (~16-32 GB/s), where the full unpacked buffer alone would cost several milliseconds.</w:t>
      </w:r>
    </w:p>
    <w:p>
      <w:pPr>
        <w:pStyle w:val="BodyText"/>
        <w:jc w:val="both"/>
        <w:rPr>
          <w:b w:val="false"/>
          <w:bCs w:val="false"/>
          <w:i w:val="false"/>
          <w:iCs w:val="false"/>
        </w:rPr>
      </w:pPr>
      <w:r>
        <w:rPr>
          <w:b w:val="false"/>
          <w:bCs w:val="false"/>
          <w:i w:val="false"/>
          <w:iCs w:val="false"/>
        </w:rPr>
        <w:t xml:space="preserve">Three caveats are genuinely API-, occupancy- or driver-specific and would warrant re-measurement. First, the oriented tiled dispatch negative result is partly a statement about OpenGL's coarse </w:t>
      </w:r>
      <w:r>
        <w:rPr>
          <w:rFonts w:ascii="Liberation Mono" w:hAnsi="Liberation Mono"/>
          <w:b w:val="false"/>
          <w:bCs w:val="false"/>
          <w:i w:val="false"/>
          <w:iCs w:val="false"/>
        </w:rPr>
        <w:t>glMemoryBarrier</w:t>
      </w:r>
      <w:r>
        <w:rPr>
          <w:b w:val="false"/>
          <w:bCs w:val="false"/>
          <w:i w:val="false"/>
          <w:iCs w:val="false"/>
        </w:rPr>
        <w:t xml:space="preserve"> and dispatch model: CUDA and Vulkan expose finer synchronization (timeline semaphores, cooperative groups, persistent kernels, dynamic parallelism) that could avoid the barrier serialization that sank it, so that reverted idea may be worth revisiting on those APIs. Second, the per-thread </w:t>
      </w:r>
      <w:r>
        <w:rPr>
          <w:rFonts w:ascii="Liberation Mono" w:hAnsi="Liberation Mono"/>
          <w:b w:val="false"/>
          <w:bCs w:val="false"/>
          <w:i w:val="false"/>
          <w:iCs w:val="false"/>
        </w:rPr>
        <w:t>localOut</w:t>
      </w:r>
      <w:r>
        <w:rPr>
          <w:b w:val="false"/>
          <w:bCs w:val="false"/>
          <w:i w:val="false"/>
          <w:iCs w:val="false"/>
        </w:rPr>
        <w:t>[64] scratch (256 B) and the branchy sub-step loop interact with the register file and 32-wide warps: register spilling or warp divergence could move the fine ratios, and the large L2 caches of recent discrete GPUs (tens of MB) might hold more of the active bounding box, plausibly increasing the sparse-tiling locality benefit. Third, the sub-positions are computed in single precision and rounded to nearest, and GLSL leaves the tie-break at exact half-integers unspecified; a sample landing on or within an ulp of such a boundary can resolve to either neighbour on a different driver. This never moves a sample by more than one voxel and does not affect the byte-identity of S1, S2 and S3 on one machine, which is what §5.3 verifies, but byte-identity across drivers is not guaranteed. None of the three changes which lever breaks the ceiling; together they set the agenda for a cross-hardware study.</w:t>
      </w:r>
    </w:p>
    <w:p>
      <w:pPr>
        <w:pStyle w:val="BodyText"/>
        <w:jc w:val="both"/>
        <w:rPr/>
      </w:pPr>
      <w:r>
        <w:rPr>
          <w:b w:val="false"/>
          <w:bCs w:val="false"/>
          <w:i w:val="false"/>
          <w:iCs w:val="false"/>
        </w:rPr>
        <w:t xml:space="preserve">When tube pruning helps. The gain requires segment length </w:t>
      </w:r>
      <w:r>
        <w:rPr>
          <w:rStyle w:val="VerbatimChar"/>
          <w:b w:val="false"/>
          <w:bCs w:val="false"/>
          <w:i w:val="false"/>
          <w:iCs w:val="false"/>
        </w:rPr>
        <w:t>L ≫ F</w:t>
      </w:r>
      <w:r>
        <w:rPr>
          <w:b w:val="false"/>
          <w:bCs w:val="false"/>
          <w:i w:val="false"/>
          <w:iCs w:val="false"/>
        </w:rPr>
        <w:t>. Axis-aligned programs, or diagonal programs machined with a tool nearly as wide as the segments are long, see little - their AABB already equals the tube. Real 3-axis programs, however, contain substantial air travel (rapids between features, retract/reposition links) and non-axis-aligned finishing toolpaths, all of which this optimization accelerates; the in-air pruning in particular applies to every rapid.</w:t>
      </w:r>
    </w:p>
    <w:p>
      <w:pPr>
        <w:pStyle w:val="BodyText"/>
        <w:jc w:val="both"/>
        <w:rPr/>
      </w:pPr>
      <w:r>
        <w:rPr>
          <w:b w:val="false"/>
          <w:bCs w:val="false"/>
          <w:i w:val="false"/>
          <w:iCs w:val="false"/>
        </w:rPr>
        <w:t xml:space="preserve">Limitations. The pipeline runs in voxel units. That is deliberate for the results reported here (§5.2), but it does mean that a real G-code program in millimetres is not yet consumed directly: the tool datum is the centre of the tool's bounding box, so the Z origin shifts with the modelled shank length and neither the tip radius nor the tool length is compensated. A calibrated millimetre mapping with an explicit tool datum is future work. The envelope over-removes for non-convex-in-Z tools, and the flat-buffer stride </w:t>
      </w:r>
      <w:r>
        <w:rPr>
          <w:rStyle w:val="SourceText"/>
          <w:rFonts w:eastAsia="Arial" w:cs="" w:cstheme="minorBidi" w:eastAsiaTheme="minorHAnsi"/>
          <w:b w:val="false"/>
          <w:bCs w:val="false"/>
          <w:i w:val="false"/>
          <w:iCs w:val="false"/>
          <w:color w:val="auto"/>
          <w:kern w:val="0"/>
          <w:sz w:val="24"/>
          <w:szCs w:val="24"/>
          <w:lang w:val="en-US" w:eastAsia="en-US" w:bidi="ar-SA"/>
        </w:rPr>
        <w:t>MAX_TRANSITIONS</w:t>
      </w:r>
      <w:r>
        <w:rPr>
          <w:b w:val="false"/>
          <w:bCs w:val="false"/>
          <w:i w:val="false"/>
          <w:iCs w:val="false"/>
        </w:rPr>
        <w:t xml:space="preserve"> = 32 is not overflow-guarded, though detection would be near-free to add (§4.2). The tool is axis-fixed (3-axis only). Arcs are handled only as polylines, so a segment count that grows with the chord tolerance is the price of curved paths; a native circular-swept envelope would be a natural extension. Against the continuously-swept cut the single-pass envelope is exact on axis-aligned moves and under-removes by 0.08 % on a 45° one, a gap that shrinks with the voxel size (§4.6). The path used when scoring a candidate toolpath is not itself optimized: the per-segment removal counter is an unreduced global atomic per active column on a single counter, plus two extra column scans, where a per-workgroup shared-memory reduction would be the obvious fix; it is disabled in all measurements reported here. That path is also where the largest remaining lever lies: a GPU-side objective, comparing carved-vs-target on the GPU, would remove the per-iteration read-back entirely.</w:t>
      </w:r>
      <w:bookmarkEnd w:id="30"/>
    </w:p>
    <w:p>
      <w:pPr>
        <w:pStyle w:val="Heading2"/>
        <w:jc w:val="both"/>
        <w:rPr/>
      </w:pPr>
      <w:r>
        <w:rPr>
          <w:color w:val="000000"/>
        </w:rPr>
        <w:t xml:space="preserve">8. </w:t>
      </w:r>
      <w:bookmarkStart w:id="31" w:name="conclusions"/>
      <w:r>
        <w:rPr>
          <w:color w:val="000000"/>
        </w:rPr>
        <w:t>Conclusions</w:t>
      </w:r>
    </w:p>
    <w:p>
      <w:pPr>
        <w:pStyle w:val="FirstParagraph"/>
        <w:jc w:val="both"/>
        <w:rPr>
          <w:b w:val="false"/>
          <w:bCs w:val="false"/>
        </w:rPr>
      </w:pPr>
      <w:r>
        <w:rPr>
          <w:b w:val="false"/>
          <w:bCs w:val="false"/>
        </w:rPr>
        <w:t>We presented a GPU material-removal simulator for 3-axis milling built on a single-axis dexel field, in which Boolean difference is a per-column merge that maps one workpiece column to one GPU thread. On top of a fused, materialization-free swept-segment subtraction, we introduced tube pruning - skipping the write-back for columns the swept tool never touches - which is byte-identical and yields 3.2–7.4× (stress benchmarks, Table 1) on the diagonal and air-heavy work that dominates real toolpaths, with an axis-aligned effect that depends on the program and tool (a gain when whole rapids are air-skipped or a large-tool AABB overhangs the band, a modest cost on dense rasters where every column is active). The optimization, two documented negative results bracketing it, and a third positive one that removes the dead per-column write-back on active columns, together show that on this pipeline the decisive resource is memory-write bandwidth: the successful levers remove bytes written, not arithmetic or launched threads. The simulator is fast enough, and accurate against the continuously-swept cut, exactly so on axis-aligned moves and to within 0.08 % on diagonals (§4.6), to serve as the forward model of a search- or learning-based toolpath generator, which is the subject of ongoing work.</w:t>
      </w:r>
      <w:bookmarkEnd w:id="31"/>
    </w:p>
    <w:p>
      <w:pPr>
        <w:pStyle w:val="BodyText"/>
        <w:jc w:val="both"/>
        <w:rPr/>
      </w:pPr>
      <w:r>
        <w:rPr/>
      </w:r>
      <w:r>
        <w:br w:type="page"/>
      </w:r>
    </w:p>
    <w:p>
      <w:pPr>
        <w:pStyle w:val="Heading2"/>
        <w:jc w:val="both"/>
        <w:rPr>
          <w:color w:val="000000"/>
        </w:rPr>
      </w:pPr>
      <w:r>
        <w:rPr>
          <w:color w:val="000000"/>
        </w:rPr>
        <w:t>Appendix A. Terminology</w:t>
      </w:r>
    </w:p>
    <w:tbl>
      <w:tblPr>
        <w:tblStyle w:val="Table"/>
        <w:tblW w:w="9825" w:type="dxa"/>
        <w:jc w:val="left"/>
        <w:tblInd w:w="0" w:type="dxa"/>
        <w:tblLayout w:type="fixed"/>
        <w:tblCellMar>
          <w:top w:w="0" w:type="dxa"/>
          <w:left w:w="108" w:type="dxa"/>
          <w:bottom w:w="0" w:type="dxa"/>
          <w:right w:w="108" w:type="dxa"/>
        </w:tblCellMar>
        <w:tblLook w:noHBand="0" w:noVBand="0" w:firstColumn="0" w:lastRow="0" w:lastColumn="0" w:firstRow="1" w:val="0020"/>
      </w:tblPr>
      <w:tblGrid>
        <w:gridCol w:w="3255"/>
        <w:gridCol w:w="6570"/>
      </w:tblGrid>
      <w:tr>
        <w:trPr>
          <w:tblHeader w:val="true"/>
        </w:trPr>
        <w:tc>
          <w:tcPr>
            <w:tcW w:w="3255"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Term</w:t>
            </w:r>
          </w:p>
        </w:tc>
        <w:tc>
          <w:tcPr>
            <w:tcW w:w="6570" w:type="dxa"/>
            <w:tcBorders>
              <w:bottom w:val="single" w:sz="6" w:space="0" w:color="000000"/>
            </w:tcBorders>
            <w:vAlign w:val="bottom"/>
          </w:tcPr>
          <w:p>
            <w:pPr>
              <w:pStyle w:val="TableHeading"/>
              <w:spacing w:before="0" w:after="200"/>
              <w:rPr>
                <w:rFonts w:ascii="Arial" w:hAnsi="Arial" w:eastAsia="Arial" w:cs=""/>
                <w:kern w:val="0"/>
                <w:sz w:val="24"/>
                <w:szCs w:val="24"/>
                <w:lang w:val="en-US" w:eastAsia="en-US" w:bidi="ar-SA"/>
              </w:rPr>
            </w:pPr>
            <w:r>
              <w:rPr/>
              <w:t>Meaning in this paper</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Voxel</w:t>
            </w:r>
          </w:p>
        </w:tc>
        <w:tc>
          <w:tcPr>
            <w:tcW w:w="6570" w:type="dxa"/>
            <w:tcBorders/>
          </w:tcPr>
          <w:p>
            <w:pPr>
              <w:pStyle w:val="TableContents"/>
              <w:spacing w:before="0" w:after="200"/>
              <w:rPr>
                <w:rFonts w:ascii="Arial" w:hAnsi="Arial" w:eastAsia="Arial" w:cs=""/>
                <w:kern w:val="0"/>
                <w:lang w:val="en-US" w:eastAsia="en-US" w:bidi="ar-SA"/>
              </w:rPr>
            </w:pPr>
            <w:r>
              <w:rPr>
                <w:sz w:val="22"/>
                <w:szCs w:val="22"/>
              </w:rPr>
              <w:t>A cell of the regular 3-D grid; solid or empty.</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Dexel</w:t>
            </w:r>
          </w:p>
        </w:tc>
        <w:tc>
          <w:tcPr>
            <w:tcW w:w="6570" w:type="dxa"/>
            <w:tcBorders/>
          </w:tcPr>
          <w:p>
            <w:pPr>
              <w:pStyle w:val="TableContents"/>
              <w:spacing w:before="0" w:after="200"/>
              <w:rPr>
                <w:rFonts w:ascii="Arial" w:hAnsi="Arial" w:eastAsia="Arial" w:cs=""/>
                <w:kern w:val="0"/>
                <w:lang w:val="en-US" w:eastAsia="en-US" w:bidi="ar-SA"/>
              </w:rPr>
            </w:pPr>
            <w:r>
              <w:rPr>
                <w:sz w:val="22"/>
                <w:szCs w:val="22"/>
              </w:rPr>
              <w:t>“</w:t>
            </w:r>
            <w:r>
              <w:rPr>
                <w:sz w:val="22"/>
                <w:szCs w:val="22"/>
              </w:rPr>
              <w:t>Depth element”: the run of solid voxels along one axis in a column.</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Single-axis dexel field</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The stock/tool stored as per-</w:t>
            </w:r>
            <w:r>
              <w:rPr>
                <w:rStyle w:val="VerbatimChar"/>
                <w:rFonts w:eastAsia="Arial" w:cs=""/>
                <w:kern w:val="0"/>
                <w:sz w:val="22"/>
                <w:szCs w:val="22"/>
                <w:lang w:val="en-US" w:eastAsia="en-US" w:bidi="ar-SA"/>
              </w:rPr>
              <w:t>(x,y)</w:t>
            </w:r>
            <w:r>
              <w:rPr>
                <w:rFonts w:eastAsia="Arial" w:cs=""/>
                <w:kern w:val="0"/>
                <w:sz w:val="22"/>
                <w:szCs w:val="22"/>
                <w:lang w:val="en-US" w:eastAsia="en-US" w:bidi="ar-SA"/>
              </w:rPr>
              <w:t>-column Z-runs (our representation).</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Column</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 xml:space="preserve">One </w:t>
            </w:r>
            <w:r>
              <w:rPr>
                <w:rStyle w:val="VerbatimChar"/>
                <w:rFonts w:eastAsia="Arial" w:cs=""/>
                <w:kern w:val="0"/>
                <w:sz w:val="22"/>
                <w:szCs w:val="22"/>
                <w:lang w:val="en-US" w:eastAsia="en-US" w:bidi="ar-SA"/>
              </w:rPr>
              <w:t>(x, y)</w:t>
            </w:r>
            <w:r>
              <w:rPr>
                <w:rFonts w:eastAsia="Arial" w:cs=""/>
                <w:kern w:val="0"/>
                <w:sz w:val="22"/>
                <w:szCs w:val="22"/>
                <w:lang w:val="en-US" w:eastAsia="en-US" w:bidi="ar-SA"/>
              </w:rPr>
              <w:t xml:space="preserve"> stack of </w:t>
            </w:r>
            <w:r>
              <w:rPr>
                <w:rStyle w:val="VerbatimChar"/>
                <w:rFonts w:eastAsia="Arial" w:cs=""/>
                <w:kern w:val="0"/>
                <w:sz w:val="22"/>
                <w:szCs w:val="22"/>
                <w:lang w:val="en-US" w:eastAsia="en-US" w:bidi="ar-SA"/>
              </w:rPr>
              <w:t>D</w:t>
            </w:r>
            <w:r>
              <w:rPr>
                <w:rFonts w:eastAsia="Arial" w:cs=""/>
                <w:kern w:val="0"/>
                <w:sz w:val="22"/>
                <w:szCs w:val="22"/>
                <w:lang w:val="en-US" w:eastAsia="en-US" w:bidi="ar-SA"/>
              </w:rPr>
              <w:t xml:space="preserve"> voxels along Z.</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Lattice (W × H × D)</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 xml:space="preserve">The voxel grid: </w:t>
            </w:r>
            <w:r>
              <w:rPr>
                <w:rStyle w:val="VerbatimChar"/>
                <w:rFonts w:eastAsia="Arial" w:cs=""/>
                <w:kern w:val="0"/>
                <w:sz w:val="22"/>
                <w:szCs w:val="22"/>
                <w:lang w:val="en-US" w:eastAsia="en-US" w:bidi="ar-SA"/>
              </w:rPr>
              <w:t>W×H</w:t>
            </w:r>
            <w:r>
              <w:rPr>
                <w:rFonts w:eastAsia="Arial" w:cs=""/>
                <w:kern w:val="0"/>
                <w:sz w:val="22"/>
                <w:szCs w:val="22"/>
                <w:lang w:val="en-US" w:eastAsia="en-US" w:bidi="ar-SA"/>
              </w:rPr>
              <w:t xml:space="preserve"> columns, each </w:t>
            </w:r>
            <w:r>
              <w:rPr>
                <w:rStyle w:val="VerbatimChar"/>
                <w:rFonts w:eastAsia="Arial" w:cs=""/>
                <w:kern w:val="0"/>
                <w:sz w:val="22"/>
                <w:szCs w:val="22"/>
                <w:lang w:val="en-US" w:eastAsia="en-US" w:bidi="ar-SA"/>
              </w:rPr>
              <w:t>D</w:t>
            </w:r>
            <w:r>
              <w:rPr>
                <w:rFonts w:eastAsia="Arial" w:cs=""/>
                <w:kern w:val="0"/>
                <w:sz w:val="22"/>
                <w:szCs w:val="22"/>
                <w:lang w:val="en-US" w:eastAsia="en-US" w:bidi="ar-SA"/>
              </w:rPr>
              <w:t xml:space="preserve"> voxels deep (</w:t>
            </w:r>
            <w:r>
              <w:rPr>
                <w:rStyle w:val="VerbatimChar"/>
                <w:rFonts w:eastAsia="Arial" w:cs=""/>
                <w:kern w:val="0"/>
                <w:sz w:val="22"/>
                <w:szCs w:val="22"/>
                <w:lang w:val="en-US" w:eastAsia="en-US" w:bidi="ar-SA"/>
              </w:rPr>
              <w:t>D</w:t>
            </w:r>
            <w:r>
              <w:rPr>
                <w:rFonts w:eastAsia="Arial" w:cs=""/>
                <w:kern w:val="0"/>
                <w:sz w:val="22"/>
                <w:szCs w:val="22"/>
                <w:lang w:val="en-US" w:eastAsia="en-US" w:bidi="ar-SA"/>
              </w:rPr>
              <w:t xml:space="preserve"> = lattice depth, distinct from the footprint </w:t>
            </w:r>
            <w:r>
              <w:rPr>
                <w:rStyle w:val="VerbatimChar"/>
                <w:rFonts w:eastAsia="Arial" w:cs=""/>
                <w:kern w:val="0"/>
                <w:sz w:val="22"/>
                <w:szCs w:val="22"/>
                <w:lang w:val="en-US" w:eastAsia="en-US" w:bidi="ar-SA"/>
              </w:rPr>
              <w:t>F</w:t>
            </w:r>
            <w:r>
              <w:rPr>
                <w:rFonts w:eastAsia="Arial" w:cs=""/>
                <w:kern w:val="0"/>
                <w:sz w:val="22"/>
                <w:szCs w:val="22"/>
                <w:lang w:val="en-US" w:eastAsia="en-US" w:bidi="ar-SA"/>
              </w:rPr>
              <w:t>).</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Transition</w:t>
            </w:r>
          </w:p>
        </w:tc>
        <w:tc>
          <w:tcPr>
            <w:tcW w:w="6570" w:type="dxa"/>
            <w:tcBorders/>
          </w:tcPr>
          <w:p>
            <w:pPr>
              <w:pStyle w:val="TableContents"/>
              <w:spacing w:before="0" w:after="200"/>
              <w:rPr>
                <w:rFonts w:ascii="Arial" w:hAnsi="Arial" w:eastAsia="Arial" w:cs=""/>
                <w:kern w:val="0"/>
                <w:lang w:val="en-US" w:eastAsia="en-US" w:bidi="ar-SA"/>
              </w:rPr>
            </w:pPr>
            <w:r>
              <w:rPr>
                <w:sz w:val="22"/>
                <w:szCs w:val="22"/>
              </w:rPr>
              <w:t>A Z height where a column’s occupancy flips (empty↔solid).</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Parity walk</w:t>
            </w:r>
          </w:p>
        </w:tc>
        <w:tc>
          <w:tcPr>
            <w:tcW w:w="6570" w:type="dxa"/>
            <w:tcBorders/>
          </w:tcPr>
          <w:p>
            <w:pPr>
              <w:pStyle w:val="TableContents"/>
              <w:spacing w:before="0" w:after="200"/>
              <w:rPr>
                <w:rFonts w:ascii="Arial" w:hAnsi="Arial" w:eastAsia="Arial" w:cs=""/>
                <w:kern w:val="0"/>
                <w:lang w:val="en-US" w:eastAsia="en-US" w:bidi="ar-SA"/>
              </w:rPr>
            </w:pPr>
            <w:r>
              <w:rPr>
                <w:sz w:val="22"/>
                <w:szCs w:val="22"/>
              </w:rPr>
              <w:t>Recovering occupancy by counting transitions ≤ z: odd ⇒ solid.</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Stock / workpiece</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The block being machined (</w:t>
            </w:r>
            <w:r>
              <w:rPr>
                <w:rStyle w:val="VerbatimChar"/>
                <w:rFonts w:eastAsia="Arial" w:cs=""/>
                <w:kern w:val="0"/>
                <w:sz w:val="22"/>
                <w:szCs w:val="22"/>
                <w:lang w:val="en-US" w:eastAsia="en-US" w:bidi="ar-SA"/>
              </w:rPr>
              <w:t>obj1</w:t>
            </w:r>
            <w:r>
              <w:rPr>
                <w:rFonts w:eastAsia="Arial" w:cs=""/>
                <w:kern w:val="0"/>
                <w:sz w:val="22"/>
                <w:szCs w:val="22"/>
                <w:lang w:val="en-US" w:eastAsia="en-US" w:bidi="ar-SA"/>
              </w:rPr>
              <w:t>).</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Tool</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The cutter (</w:t>
            </w:r>
            <w:r>
              <w:rPr>
                <w:rStyle w:val="VerbatimChar"/>
                <w:rFonts w:eastAsia="Arial" w:cs=""/>
                <w:kern w:val="0"/>
                <w:sz w:val="22"/>
                <w:szCs w:val="22"/>
                <w:lang w:val="en-US" w:eastAsia="en-US" w:bidi="ar-SA"/>
              </w:rPr>
              <w:t>obj2</w:t>
            </w:r>
            <w:r>
              <w:rPr>
                <w:rFonts w:eastAsia="Arial" w:cs=""/>
                <w:kern w:val="0"/>
                <w:sz w:val="22"/>
                <w:szCs w:val="22"/>
                <w:lang w:val="en-US" w:eastAsia="en-US" w:bidi="ar-SA"/>
              </w:rPr>
              <w:t>); here a ball-end mill (hemisphere + shank).</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Footprint (F)</w:t>
            </w:r>
          </w:p>
        </w:tc>
        <w:tc>
          <w:tcPr>
            <w:tcW w:w="6570" w:type="dxa"/>
            <w:tcBorders/>
          </w:tcPr>
          <w:p>
            <w:pPr>
              <w:pStyle w:val="TableContents"/>
              <w:spacing w:before="0" w:after="200"/>
              <w:rPr>
                <w:rFonts w:ascii="Arial" w:hAnsi="Arial" w:eastAsia="Arial" w:cs=""/>
                <w:kern w:val="0"/>
                <w:lang w:val="en-US" w:eastAsia="en-US" w:bidi="ar-SA"/>
              </w:rPr>
            </w:pPr>
            <w:r>
              <w:rPr>
                <w:sz w:val="22"/>
                <w:szCs w:val="22"/>
              </w:rPr>
              <w:t>The tool's XY extent in voxels: a square of side F, since the tool is a solid of revolution about Z.</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Segment</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 xml:space="preserve">One straight toolpath move </w:t>
            </w:r>
            <w:r>
              <w:rPr>
                <w:rStyle w:val="VerbatimChar"/>
                <w:rFonts w:eastAsia="Arial" w:cs=""/>
                <w:kern w:val="0"/>
                <w:sz w:val="22"/>
                <w:szCs w:val="22"/>
                <w:lang w:val="en-US" w:eastAsia="en-US" w:bidi="ar-SA"/>
              </w:rPr>
              <w:t>p0 → p1</w:t>
            </w:r>
            <w:r>
              <w:rPr>
                <w:rFonts w:eastAsia="Arial" w:cs=""/>
                <w:kern w:val="0"/>
                <w:sz w:val="22"/>
                <w:szCs w:val="22"/>
                <w:lang w:val="en-US" w:eastAsia="en-US" w:bidi="ar-SA"/>
              </w:rPr>
              <w:t>.</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Swept volume</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The region the tool sweeps over a segment (</w:t>
            </w:r>
            <w:r>
              <w:rPr>
                <w:rStyle w:val="VerbatimChar"/>
                <w:rFonts w:eastAsia="Arial" w:cs=""/>
                <w:kern w:val="0"/>
                <w:sz w:val="22"/>
                <w:szCs w:val="22"/>
                <w:lang w:val="en-US" w:eastAsia="en-US" w:bidi="ar-SA"/>
              </w:rPr>
              <w:t>tool ⊕ p0p1</w:t>
            </w:r>
            <w:r>
              <w:rPr>
                <w:rFonts w:eastAsia="Arial" w:cs=""/>
                <w:kern w:val="0"/>
                <w:sz w:val="22"/>
                <w:szCs w:val="22"/>
                <w:lang w:val="en-US" w:eastAsia="en-US" w:bidi="ar-SA"/>
              </w:rPr>
              <w:t>).</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Z-envelope</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 xml:space="preserve">Per stock column, the single interval </w:t>
            </w:r>
            <w:r>
              <w:rPr>
                <w:rStyle w:val="VerbatimChar"/>
                <w:rFonts w:eastAsia="Arial" w:cs=""/>
                <w:kern w:val="0"/>
                <w:sz w:val="22"/>
                <w:szCs w:val="22"/>
                <w:lang w:val="en-US" w:eastAsia="en-US" w:bidi="ar-SA"/>
              </w:rPr>
              <w:t>[min bottom, max top]</w:t>
            </w:r>
            <w:r>
              <w:rPr>
                <w:rFonts w:eastAsia="Arial" w:cs=""/>
                <w:kern w:val="0"/>
                <w:sz w:val="22"/>
                <w:szCs w:val="22"/>
                <w:lang w:val="en-US" w:eastAsia="en-US" w:bidi="ar-SA"/>
              </w:rPr>
              <w:t xml:space="preserve"> of the swept tool.</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Sub-step</w:t>
            </w:r>
          </w:p>
        </w:tc>
        <w:tc>
          <w:tcPr>
            <w:tcW w:w="6570" w:type="dxa"/>
            <w:tcBorders/>
          </w:tcPr>
          <w:p>
            <w:pPr>
              <w:pStyle w:val="TableContents"/>
              <w:spacing w:before="0" w:after="200"/>
              <w:rPr>
                <w:rFonts w:ascii="Arial" w:hAnsi="Arial" w:eastAsia="Arial" w:cs=""/>
                <w:kern w:val="0"/>
                <w:lang w:val="en-US" w:eastAsia="en-US" w:bidi="ar-SA"/>
              </w:rPr>
            </w:pPr>
            <w:r>
              <w:rPr>
                <w:sz w:val="22"/>
                <w:szCs w:val="22"/>
              </w:rPr>
              <w:t>One sampled tool-centre position along a segment.</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Chebyshev length (K)</w:t>
            </w:r>
          </w:p>
        </w:tc>
        <w:tc>
          <w:tcPr>
            <w:tcW w:w="6570" w:type="dxa"/>
            <w:tcBorders/>
          </w:tcPr>
          <w:p>
            <w:pPr>
              <w:pStyle w:val="TableContents"/>
              <w:spacing w:before="0" w:after="200"/>
              <w:rPr>
                <w:rFonts w:ascii="Arial" w:hAnsi="Arial" w:eastAsia="Arial" w:cs=""/>
                <w:kern w:val="0"/>
                <w:lang w:val="en-US" w:eastAsia="en-US" w:bidi="ar-SA"/>
              </w:rPr>
            </w:pPr>
            <w:r>
              <w:rPr>
                <w:rStyle w:val="VerbatimChar"/>
                <w:rFonts w:eastAsia="Arial" w:cs=""/>
                <w:kern w:val="0"/>
                <w:sz w:val="22"/>
                <w:szCs w:val="22"/>
                <w:lang w:val="en-US" w:eastAsia="en-US" w:bidi="ar-SA"/>
              </w:rPr>
              <w:t>max(|Δx|,|Δy|,|Δz|)</w:t>
            </w:r>
            <w:r>
              <w:rPr>
                <w:rFonts w:eastAsia="Arial" w:cs=""/>
                <w:kern w:val="0"/>
                <w:sz w:val="22"/>
                <w:szCs w:val="22"/>
                <w:lang w:val="en-US" w:eastAsia="en-US" w:bidi="ar-SA"/>
              </w:rPr>
              <w:t>; number of ≤1-voxel sub-steps.</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AABB</w:t>
            </w:r>
          </w:p>
        </w:tc>
        <w:tc>
          <w:tcPr>
            <w:tcW w:w="6570" w:type="dxa"/>
            <w:tcBorders/>
          </w:tcPr>
          <w:p>
            <w:pPr>
              <w:pStyle w:val="TableContents"/>
              <w:spacing w:before="0" w:after="200"/>
              <w:rPr>
                <w:rFonts w:ascii="Arial" w:hAnsi="Arial" w:eastAsia="Arial" w:cs=""/>
                <w:kern w:val="0"/>
                <w:lang w:val="en-US" w:eastAsia="en-US" w:bidi="ar-SA"/>
              </w:rPr>
            </w:pPr>
            <w:r>
              <w:rPr>
                <w:sz w:val="22"/>
                <w:szCs w:val="22"/>
              </w:rPr>
              <w:t>Axis-aligned bounding box (of a segment’s endpoints, dilated by the footprint).</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Swept band / tube</w:t>
            </w:r>
          </w:p>
        </w:tc>
        <w:tc>
          <w:tcPr>
            <w:tcW w:w="6570" w:type="dxa"/>
            <w:tcBorders/>
          </w:tcPr>
          <w:p>
            <w:pPr>
              <w:pStyle w:val="TableContents"/>
              <w:spacing w:before="0" w:after="200"/>
              <w:rPr>
                <w:rFonts w:ascii="Arial" w:hAnsi="Arial" w:eastAsia="Arial" w:cs=""/>
                <w:kern w:val="0"/>
                <w:lang w:val="en-US" w:eastAsia="en-US" w:bidi="ar-SA"/>
              </w:rPr>
            </w:pPr>
            <w:r>
              <w:rPr>
                <w:sz w:val="22"/>
                <w:szCs w:val="22"/>
              </w:rPr>
              <w:t>The columns the tool actually sweeps - a band along the motion.</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Tube pruning</w:t>
            </w:r>
          </w:p>
        </w:tc>
        <w:tc>
          <w:tcPr>
            <w:tcW w:w="6570" w:type="dxa"/>
            <w:tcBorders/>
          </w:tcPr>
          <w:p>
            <w:pPr>
              <w:pStyle w:val="TableContents"/>
              <w:spacing w:before="0" w:after="200"/>
              <w:rPr>
                <w:rFonts w:ascii="Arial" w:hAnsi="Arial" w:eastAsia="Arial" w:cs=""/>
                <w:kern w:val="0"/>
                <w:lang w:val="en-US" w:eastAsia="en-US" w:bidi="ar-SA"/>
              </w:rPr>
            </w:pPr>
            <w:r>
              <w:rPr>
                <w:sz w:val="22"/>
                <w:szCs w:val="22"/>
              </w:rPr>
              <w:t>Skipping the write-back for columns outside the tube / stock Z-range.</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Thread</w:t>
            </w:r>
          </w:p>
        </w:tc>
        <w:tc>
          <w:tcPr>
            <w:tcW w:w="6570" w:type="dxa"/>
            <w:tcBorders/>
          </w:tcPr>
          <w:p>
            <w:pPr>
              <w:pStyle w:val="TableContents"/>
              <w:spacing w:before="0" w:after="200"/>
              <w:rPr>
                <w:rFonts w:ascii="Arial" w:hAnsi="Arial" w:eastAsia="Arial" w:cs=""/>
                <w:kern w:val="0"/>
                <w:lang w:val="en-US" w:eastAsia="en-US" w:bidi="ar-SA"/>
              </w:rPr>
            </w:pPr>
            <w:r>
              <w:rPr>
                <w:sz w:val="22"/>
                <w:szCs w:val="22"/>
              </w:rPr>
              <w:t>One GPU work-item; here it processes one column.</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Workgroup</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A block of threads executed together (</w:t>
            </w:r>
            <w:r>
              <w:rPr>
                <w:rStyle w:val="VerbatimChar"/>
                <w:rFonts w:eastAsia="Arial" w:cs=""/>
                <w:kern w:val="0"/>
                <w:sz w:val="22"/>
                <w:szCs w:val="22"/>
                <w:lang w:val="en-US" w:eastAsia="en-US" w:bidi="ar-SA"/>
              </w:rPr>
              <w:t>8×8</w:t>
            </w:r>
            <w:r>
              <w:rPr>
                <w:rFonts w:eastAsia="Arial" w:cs=""/>
                <w:kern w:val="0"/>
                <w:sz w:val="22"/>
                <w:szCs w:val="22"/>
                <w:lang w:val="en-US" w:eastAsia="en-US" w:bidi="ar-SA"/>
              </w:rPr>
              <w:t xml:space="preserve"> here).</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Dispatch</w:t>
            </w:r>
          </w:p>
        </w:tc>
        <w:tc>
          <w:tcPr>
            <w:tcW w:w="6570" w:type="dxa"/>
            <w:tcBorders/>
          </w:tcPr>
          <w:p>
            <w:pPr>
              <w:pStyle w:val="TableContents"/>
              <w:spacing w:before="0" w:after="200"/>
              <w:rPr>
                <w:rFonts w:ascii="Arial" w:hAnsi="Arial" w:eastAsia="Arial" w:cs=""/>
                <w:kern w:val="0"/>
                <w:lang w:val="en-US" w:eastAsia="en-US" w:bidi="ar-SA"/>
              </w:rPr>
            </w:pPr>
            <w:r>
              <w:rPr>
                <w:sz w:val="22"/>
                <w:szCs w:val="22"/>
              </w:rPr>
              <w:t>A launch of a compute shader over a grid of workgroups.</w:t>
            </w:r>
          </w:p>
        </w:tc>
      </w:tr>
      <w:tr>
        <w:trPr/>
        <w:tc>
          <w:tcPr>
            <w:tcW w:w="3255" w:type="dxa"/>
            <w:tcBorders/>
          </w:tcPr>
          <w:p>
            <w:pPr>
              <w:pStyle w:val="TableContents"/>
              <w:spacing w:before="0" w:after="200"/>
              <w:rPr>
                <w:rFonts w:ascii="Arial" w:hAnsi="Arial" w:eastAsia="Arial" w:cs=""/>
                <w:kern w:val="0"/>
                <w:lang w:val="en-US" w:eastAsia="en-US" w:bidi="ar-SA"/>
              </w:rPr>
            </w:pPr>
            <w:r>
              <w:rPr>
                <w:rStyle w:val="VerbatimChar"/>
                <w:sz w:val="22"/>
                <w:szCs w:val="22"/>
              </w:rPr>
              <w:t>gl_GlobalInvocationID</w:t>
            </w:r>
          </w:p>
        </w:tc>
        <w:tc>
          <w:tcPr>
            <w:tcW w:w="6570" w:type="dxa"/>
            <w:tcBorders/>
          </w:tcPr>
          <w:p>
            <w:pPr>
              <w:pStyle w:val="TableContents"/>
              <w:spacing w:before="0" w:after="200"/>
              <w:rPr>
                <w:rFonts w:ascii="Arial" w:hAnsi="Arial" w:eastAsia="Arial" w:cs=""/>
                <w:kern w:val="0"/>
                <w:lang w:val="en-US" w:eastAsia="en-US" w:bidi="ar-SA"/>
              </w:rPr>
            </w:pPr>
            <w:r>
              <w:rPr>
                <w:sz w:val="22"/>
                <w:szCs w:val="22"/>
              </w:rPr>
              <w:t>A thread’s global index within the dispatch grid.</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SSBO</w:t>
            </w:r>
          </w:p>
        </w:tc>
        <w:tc>
          <w:tcPr>
            <w:tcW w:w="6570" w:type="dxa"/>
            <w:tcBorders/>
          </w:tcPr>
          <w:p>
            <w:pPr>
              <w:pStyle w:val="TableContents"/>
              <w:spacing w:before="0" w:after="200"/>
              <w:rPr>
                <w:rFonts w:ascii="Arial" w:hAnsi="Arial" w:eastAsia="Arial" w:cs=""/>
                <w:kern w:val="0"/>
                <w:lang w:val="en-US" w:eastAsia="en-US" w:bidi="ar-SA"/>
              </w:rPr>
            </w:pPr>
            <w:r>
              <w:rPr>
                <w:sz w:val="22"/>
                <w:szCs w:val="22"/>
              </w:rPr>
              <w:t>Shader Storage Buffer Object: a large GPU-resident array.</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Memory barrier</w:t>
            </w:r>
          </w:p>
        </w:tc>
        <w:tc>
          <w:tcPr>
            <w:tcW w:w="6570" w:type="dxa"/>
            <w:tcBorders/>
          </w:tcPr>
          <w:p>
            <w:pPr>
              <w:pStyle w:val="TableContents"/>
              <w:spacing w:before="0" w:after="200"/>
              <w:rPr>
                <w:rFonts w:ascii="Arial" w:hAnsi="Arial" w:eastAsia="Arial" w:cs=""/>
                <w:kern w:val="0"/>
                <w:lang w:val="en-US" w:eastAsia="en-US" w:bidi="ar-SA"/>
              </w:rPr>
            </w:pPr>
            <w:r>
              <w:rPr>
                <w:sz w:val="22"/>
                <w:szCs w:val="22"/>
              </w:rPr>
              <w:t>A synchronization that orders dependent GPU memory accesses.</w:t>
            </w:r>
          </w:p>
        </w:tc>
      </w:tr>
      <w:tr>
        <w:trPr/>
        <w:tc>
          <w:tcPr>
            <w:tcW w:w="3255" w:type="dxa"/>
            <w:tcBorders/>
          </w:tcPr>
          <w:p>
            <w:pPr>
              <w:pStyle w:val="TableContents"/>
              <w:spacing w:before="0" w:after="200"/>
              <w:rPr>
                <w:rFonts w:ascii="Arial" w:hAnsi="Arial" w:eastAsia="Arial" w:cs=""/>
                <w:kern w:val="0"/>
                <w:lang w:val="en-US" w:eastAsia="en-US" w:bidi="ar-SA"/>
              </w:rPr>
            </w:pPr>
            <w:r>
              <w:rPr>
                <w:rStyle w:val="VerbatimChar"/>
                <w:sz w:val="22"/>
                <w:szCs w:val="22"/>
              </w:rPr>
              <w:t>MAX_TRANSITIONS</w:t>
            </w:r>
          </w:p>
        </w:tc>
        <w:tc>
          <w:tcPr>
            <w:tcW w:w="6570" w:type="dxa"/>
            <w:tcBorders/>
          </w:tcPr>
          <w:p>
            <w:pPr>
              <w:pStyle w:val="TableContents"/>
              <w:spacing w:before="0" w:after="200"/>
              <w:rPr>
                <w:rFonts w:ascii="Arial" w:hAnsi="Arial" w:eastAsia="Arial" w:cs=""/>
                <w:kern w:val="0"/>
                <w:lang w:val="en-US" w:eastAsia="en-US" w:bidi="ar-SA"/>
              </w:rPr>
            </w:pPr>
            <w:r>
              <w:rPr>
                <w:sz w:val="22"/>
                <w:szCs w:val="22"/>
              </w:rPr>
              <w:t>Fixed per-column slot count (32) of the flat working buffer.</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Byte-identical</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 xml:space="preserve">Identical saved </w:t>
            </w:r>
            <w:r>
              <w:rPr>
                <w:rStyle w:val="VerbatimChar"/>
                <w:rFonts w:eastAsia="Arial" w:cs=""/>
                <w:kern w:val="0"/>
                <w:sz w:val="22"/>
                <w:szCs w:val="22"/>
                <w:lang w:val="en-US" w:eastAsia="en-US" w:bidi="ar-SA"/>
              </w:rPr>
              <w:t>.bin</w:t>
            </w:r>
            <w:r>
              <w:rPr>
                <w:rFonts w:eastAsia="Arial" w:cs=""/>
                <w:kern w:val="0"/>
                <w:sz w:val="22"/>
                <w:szCs w:val="22"/>
                <w:lang w:val="en-US" w:eastAsia="en-US" w:bidi="ar-SA"/>
              </w:rPr>
              <w:t xml:space="preserve"> files across the swept levels (S1–S3); a direct file diff. (We avoid “bit-exact”.)</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Exact</w:t>
            </w:r>
          </w:p>
        </w:tc>
        <w:tc>
          <w:tcPr>
            <w:tcW w:w="6570" w:type="dxa"/>
            <w:tcBorders/>
          </w:tcPr>
          <w:p>
            <w:pPr>
              <w:pStyle w:val="TableContents"/>
              <w:spacing w:before="0" w:after="200"/>
              <w:rPr>
                <w:rFonts w:ascii="Arial" w:hAnsi="Arial" w:eastAsia="Arial" w:cs=""/>
                <w:kern w:val="0"/>
                <w:lang w:val="en-US" w:eastAsia="en-US" w:bidi="ar-SA"/>
              </w:rPr>
            </w:pPr>
            <w:r>
              <w:rPr>
                <w:sz w:val="22"/>
                <w:szCs w:val="22"/>
              </w:rPr>
              <w:t>Equal to stamping on the same Chebyshev sampling grid (§4.6) - a mathematical identity, not a file comparison.</w:t>
            </w:r>
          </w:p>
        </w:tc>
      </w:tr>
      <w:tr>
        <w:trPr/>
        <w:tc>
          <w:tcPr>
            <w:tcW w:w="3255" w:type="dxa"/>
            <w:tcBorders/>
          </w:tcPr>
          <w:p>
            <w:pPr>
              <w:pStyle w:val="TableContents"/>
              <w:spacing w:before="0" w:after="200"/>
              <w:rPr>
                <w:rFonts w:ascii="Arial" w:hAnsi="Arial" w:eastAsia="Arial" w:cs=""/>
                <w:kern w:val="0"/>
                <w:lang w:val="en-US" w:eastAsia="en-US" w:bidi="ar-SA"/>
              </w:rPr>
            </w:pPr>
            <w:r>
              <w:rPr>
                <w:sz w:val="22"/>
                <w:szCs w:val="22"/>
              </w:rPr>
              <w:t>Residual solid volume</w:t>
            </w:r>
          </w:p>
        </w:tc>
        <w:tc>
          <w:tcPr>
            <w:tcW w:w="6570" w:type="dxa"/>
            <w:tcBorders/>
          </w:tcPr>
          <w:p>
            <w:pPr>
              <w:pStyle w:val="TableContents"/>
              <w:spacing w:before="0" w:after="200"/>
              <w:rPr>
                <w:rFonts w:ascii="Arial" w:hAnsi="Arial" w:eastAsia="Arial" w:cs=""/>
                <w:kern w:val="0"/>
                <w:lang w:val="en-US" w:eastAsia="en-US" w:bidi="ar-SA"/>
              </w:rPr>
            </w:pPr>
            <w:r>
              <w:rPr>
                <w:rStyle w:val="VerbatimChar"/>
                <w:rFonts w:eastAsia="Arial" w:cs=""/>
                <w:kern w:val="0"/>
                <w:sz w:val="22"/>
                <w:szCs w:val="22"/>
                <w:lang w:val="en-US" w:eastAsia="en-US" w:bidi="ar-SA"/>
              </w:rPr>
              <w:t>Σ (top - bottom)</w:t>
            </w:r>
            <w:r>
              <w:rPr>
                <w:rFonts w:eastAsia="Arial" w:cs=""/>
                <w:kern w:val="0"/>
                <w:sz w:val="22"/>
                <w:szCs w:val="22"/>
                <w:lang w:val="en-US" w:eastAsia="en-US" w:bidi="ar-SA"/>
              </w:rPr>
              <w:t xml:space="preserve"> over all columns’ solid intervals.</w:t>
            </w:r>
          </w:p>
        </w:tc>
      </w:tr>
      <w:tr>
        <w:trPr>
          <w:trHeight w:val="1393" w:hRule="atLeast"/>
        </w:trPr>
        <w:tc>
          <w:tcPr>
            <w:tcW w:w="3255" w:type="dxa"/>
            <w:tcBorders/>
          </w:tcPr>
          <w:p>
            <w:pPr>
              <w:pStyle w:val="TableContents"/>
              <w:spacing w:before="0" w:after="200"/>
              <w:rPr>
                <w:rFonts w:ascii="Arial" w:hAnsi="Arial" w:eastAsia="Arial" w:cs=""/>
                <w:kern w:val="0"/>
                <w:lang w:val="en-US" w:eastAsia="en-US" w:bidi="ar-SA"/>
              </w:rPr>
            </w:pPr>
            <w:r>
              <w:rPr>
                <w:sz w:val="22"/>
                <w:szCs w:val="22"/>
              </w:rPr>
              <w:t>Net carving time</w:t>
            </w:r>
          </w:p>
        </w:tc>
        <w:tc>
          <w:tcPr>
            <w:tcW w:w="6570" w:type="dxa"/>
            <w:tcBorders/>
          </w:tcPr>
          <w:p>
            <w:pPr>
              <w:pStyle w:val="TableContents"/>
              <w:spacing w:before="0" w:after="200"/>
              <w:rPr>
                <w:rFonts w:ascii="Arial" w:hAnsi="Arial" w:eastAsia="Arial" w:cs=""/>
                <w:kern w:val="0"/>
                <w:lang w:val="en-US" w:eastAsia="en-US" w:bidi="ar-SA"/>
              </w:rPr>
            </w:pPr>
            <w:r>
              <w:rPr>
                <w:rFonts w:eastAsia="Arial" w:cs=""/>
                <w:kern w:val="0"/>
                <w:sz w:val="22"/>
                <w:szCs w:val="22"/>
                <w:lang w:val="en-US" w:eastAsia="en-US" w:bidi="ar-SA"/>
              </w:rPr>
              <w:t xml:space="preserve">GPU carving-loop time, excluding read-back (measured with a </w:t>
            </w:r>
            <w:r>
              <w:rPr>
                <w:rStyle w:val="VerbatimChar"/>
                <w:rFonts w:eastAsia="Arial" w:cs=""/>
                <w:kern w:val="0"/>
                <w:sz w:val="22"/>
                <w:szCs w:val="22"/>
                <w:lang w:val="en-US" w:eastAsia="en-US" w:bidi="ar-SA"/>
              </w:rPr>
              <w:t>glFinish</w:t>
            </w:r>
            <w:r>
              <w:rPr>
                <w:rFonts w:eastAsia="Arial" w:cs=""/>
                <w:kern w:val="0"/>
                <w:sz w:val="22"/>
                <w:szCs w:val="22"/>
                <w:lang w:val="en-US" w:eastAsia="en-US" w:bidi="ar-SA"/>
              </w:rPr>
              <w:t>).</w:t>
            </w:r>
            <w:bookmarkStart w:id="32" w:name="appendix-a.-terminology"/>
            <w:bookmarkEnd w:id="32"/>
          </w:p>
        </w:tc>
      </w:tr>
    </w:tbl>
    <w:p>
      <w:pPr>
        <w:pStyle w:val="Heading2"/>
        <w:jc w:val="both"/>
        <w:rPr>
          <w:color w:val="000000"/>
        </w:rPr>
      </w:pPr>
      <w:r>
        <w:rPr>
          <w:color w:val="000000"/>
        </w:rPr>
      </w:r>
      <w:r>
        <w:br w:type="page"/>
      </w:r>
    </w:p>
    <w:p>
      <w:pPr>
        <w:pStyle w:val="Heading2"/>
        <w:jc w:val="both"/>
        <w:rPr>
          <w:color w:val="000000"/>
        </w:rPr>
      </w:pPr>
      <w:r>
        <w:rPr>
          <w:color w:val="000000"/>
        </w:rPr>
        <w:t xml:space="preserve">Appendix </w:t>
      </w:r>
      <w:r>
        <w:rPr>
          <w:color w:val="000000"/>
        </w:rPr>
        <w:t>B</w:t>
      </w:r>
      <w:r>
        <w:rPr>
          <w:color w:val="000000"/>
        </w:rPr>
        <w:t xml:space="preserve">. </w:t>
      </w:r>
      <w:r>
        <w:rPr>
          <w:color w:val="000000"/>
        </w:rPr>
        <w:t>Machining operation renders</w:t>
      </w:r>
    </w:p>
    <w:tbl>
      <w:tblPr>
        <w:tblW w:w="10166" w:type="dxa"/>
        <w:jc w:val="center"/>
        <w:tblInd w:w="0" w:type="dxa"/>
        <w:tblLayout w:type="fixed"/>
        <w:tblCellMar>
          <w:top w:w="29" w:type="dxa"/>
          <w:left w:w="29" w:type="dxa"/>
          <w:bottom w:w="29" w:type="dxa"/>
          <w:right w:w="29" w:type="dxa"/>
        </w:tblCellMar>
      </w:tblPr>
      <w:tblGrid>
        <w:gridCol w:w="3388"/>
        <w:gridCol w:w="3389"/>
        <w:gridCol w:w="3389"/>
      </w:tblGrid>
      <w:tr>
        <w:trPr>
          <w:trHeight w:val="3413" w:hRule="exact"/>
        </w:trPr>
        <w:tc>
          <w:tcPr>
            <w:tcW w:w="3388" w:type="dxa"/>
            <w:tcBorders/>
            <w:vAlign w:val="center"/>
          </w:tcPr>
          <w:p>
            <w:pPr>
              <w:pStyle w:val="TableContents"/>
              <w:widowControl w:val="false"/>
              <w:suppressLineNumbers/>
              <w:spacing w:before="0" w:after="200"/>
              <w:rPr/>
            </w:pPr>
            <w:r>
              <w:rPr/>
              <w:drawing>
                <wp:inline distT="0" distB="0" distL="0" distR="0">
                  <wp:extent cx="2103120" cy="210312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8"/>
                          <a:stretch>
                            <a:fillRect/>
                          </a:stretch>
                        </pic:blipFill>
                        <pic:spPr bwMode="auto">
                          <a:xfrm>
                            <a:off x="0" y="0"/>
                            <a:ext cx="2103120" cy="2103120"/>
                          </a:xfrm>
                          <a:prstGeom prst="rect">
                            <a:avLst/>
                          </a:prstGeom>
                          <a:noFill/>
                        </pic:spPr>
                      </pic:pic>
                    </a:graphicData>
                  </a:graphic>
                </wp:inline>
              </w:drawing>
            </w:r>
          </w:p>
        </w:tc>
        <w:tc>
          <w:tcPr>
            <w:tcW w:w="3389" w:type="dxa"/>
            <w:tcBorders/>
            <w:vAlign w:val="center"/>
          </w:tcPr>
          <w:p>
            <w:pPr>
              <w:pStyle w:val="TableContents"/>
              <w:widowControl w:val="false"/>
              <w:suppressLineNumbers/>
              <w:spacing w:before="0" w:after="200"/>
              <w:rPr/>
            </w:pPr>
            <w:r>
              <w:rPr/>
              <w:drawing>
                <wp:inline distT="0" distB="0" distL="0" distR="0">
                  <wp:extent cx="2103120" cy="210312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9"/>
                          <a:stretch>
                            <a:fillRect/>
                          </a:stretch>
                        </pic:blipFill>
                        <pic:spPr bwMode="auto">
                          <a:xfrm>
                            <a:off x="0" y="0"/>
                            <a:ext cx="2103120" cy="2103120"/>
                          </a:xfrm>
                          <a:prstGeom prst="rect">
                            <a:avLst/>
                          </a:prstGeom>
                          <a:noFill/>
                        </pic:spPr>
                      </pic:pic>
                    </a:graphicData>
                  </a:graphic>
                </wp:inline>
              </w:drawing>
            </w:r>
          </w:p>
        </w:tc>
        <w:tc>
          <w:tcPr>
            <w:tcW w:w="3389" w:type="dxa"/>
            <w:tcBorders/>
            <w:vAlign w:val="center"/>
          </w:tcPr>
          <w:p>
            <w:pPr>
              <w:pStyle w:val="TableContents"/>
              <w:widowControl w:val="false"/>
              <w:suppressLineNumbers/>
              <w:spacing w:before="0" w:after="200"/>
              <w:rPr/>
            </w:pPr>
            <w:r>
              <w:rPr/>
              <w:drawing>
                <wp:inline distT="0" distB="0" distL="0" distR="0">
                  <wp:extent cx="2103120" cy="210312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20"/>
                          <a:stretch>
                            <a:fillRect/>
                          </a:stretch>
                        </pic:blipFill>
                        <pic:spPr bwMode="auto">
                          <a:xfrm>
                            <a:off x="0" y="0"/>
                            <a:ext cx="2103120" cy="2103120"/>
                          </a:xfrm>
                          <a:prstGeom prst="rect">
                            <a:avLst/>
                          </a:prstGeom>
                          <a:noFill/>
                        </pic:spPr>
                      </pic:pic>
                    </a:graphicData>
                  </a:graphic>
                </wp:inline>
              </w:drawing>
            </w:r>
          </w:p>
        </w:tc>
      </w:tr>
      <w:tr>
        <w:trPr>
          <w:trHeight w:val="403" w:hRule="exact"/>
        </w:trPr>
        <w:tc>
          <w:tcPr>
            <w:tcW w:w="3388" w:type="dxa"/>
            <w:tcBorders/>
            <w:vAlign w:val="center"/>
          </w:tcPr>
          <w:p>
            <w:pPr>
              <w:pStyle w:val="TableContents"/>
              <w:spacing w:before="0" w:after="200"/>
              <w:jc w:val="center"/>
              <w:rPr/>
            </w:pPr>
            <w:r>
              <w:rPr/>
              <w:t>square_600.gcode</w:t>
            </w:r>
          </w:p>
        </w:tc>
        <w:tc>
          <w:tcPr>
            <w:tcW w:w="3389" w:type="dxa"/>
            <w:tcBorders/>
            <w:vAlign w:val="center"/>
          </w:tcPr>
          <w:p>
            <w:pPr>
              <w:pStyle w:val="TableContents"/>
              <w:spacing w:before="0" w:after="200"/>
              <w:jc w:val="center"/>
              <w:rPr/>
            </w:pPr>
            <w:r>
              <w:rPr/>
              <w:t>diagonal_cut.gcode</w:t>
            </w:r>
          </w:p>
        </w:tc>
        <w:tc>
          <w:tcPr>
            <w:tcW w:w="3389" w:type="dxa"/>
            <w:tcBorders/>
            <w:vAlign w:val="center"/>
          </w:tcPr>
          <w:p>
            <w:pPr>
              <w:pStyle w:val="TableContents"/>
              <w:spacing w:before="0" w:after="200"/>
              <w:jc w:val="center"/>
              <w:rPr/>
            </w:pPr>
            <w:r>
              <w:rPr/>
              <w:t>air_moves.gcode</w:t>
            </w:r>
          </w:p>
        </w:tc>
      </w:tr>
      <w:tr>
        <w:trPr>
          <w:trHeight w:val="3413" w:hRule="exact"/>
        </w:trPr>
        <w:tc>
          <w:tcPr>
            <w:tcW w:w="3388" w:type="dxa"/>
            <w:tcBorders/>
            <w:vAlign w:val="center"/>
          </w:tcPr>
          <w:p>
            <w:pPr>
              <w:pStyle w:val="TableContents"/>
              <w:widowControl w:val="false"/>
              <w:suppressLineNumbers/>
              <w:spacing w:before="0" w:after="200"/>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2115185" cy="211518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21"/>
                          <a:stretch>
                            <a:fillRect/>
                          </a:stretch>
                        </pic:blipFill>
                        <pic:spPr bwMode="auto">
                          <a:xfrm>
                            <a:off x="0" y="0"/>
                            <a:ext cx="2115185" cy="2115185"/>
                          </a:xfrm>
                          <a:prstGeom prst="rect">
                            <a:avLst/>
                          </a:prstGeom>
                          <a:noFill/>
                        </pic:spPr>
                      </pic:pic>
                    </a:graphicData>
                  </a:graphic>
                </wp:anchor>
              </w:drawing>
            </w:r>
          </w:p>
        </w:tc>
        <w:tc>
          <w:tcPr>
            <w:tcW w:w="3389" w:type="dxa"/>
            <w:tcBorders/>
            <w:vAlign w:val="center"/>
          </w:tcPr>
          <w:p>
            <w:pPr>
              <w:pStyle w:val="TableContents"/>
              <w:widowControl w:val="false"/>
              <w:suppressLineNumbers/>
              <w:spacing w:before="0" w:after="200"/>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2115185" cy="2115185"/>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22"/>
                          <a:stretch>
                            <a:fillRect/>
                          </a:stretch>
                        </pic:blipFill>
                        <pic:spPr bwMode="auto">
                          <a:xfrm>
                            <a:off x="0" y="0"/>
                            <a:ext cx="2115185" cy="2115185"/>
                          </a:xfrm>
                          <a:prstGeom prst="rect">
                            <a:avLst/>
                          </a:prstGeom>
                          <a:noFill/>
                        </pic:spPr>
                      </pic:pic>
                    </a:graphicData>
                  </a:graphic>
                </wp:anchor>
              </w:drawing>
            </w:r>
          </w:p>
        </w:tc>
        <w:tc>
          <w:tcPr>
            <w:tcW w:w="3389" w:type="dxa"/>
            <w:tcBorders/>
            <w:vAlign w:val="center"/>
          </w:tcPr>
          <w:p>
            <w:pPr>
              <w:pStyle w:val="TableContents"/>
              <w:widowControl w:val="false"/>
              <w:suppressLineNumbers/>
              <w:spacing w:before="0" w:after="200"/>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2115185" cy="2115185"/>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3"/>
                          <a:stretch>
                            <a:fillRect/>
                          </a:stretch>
                        </pic:blipFill>
                        <pic:spPr bwMode="auto">
                          <a:xfrm>
                            <a:off x="0" y="0"/>
                            <a:ext cx="2115185" cy="2115185"/>
                          </a:xfrm>
                          <a:prstGeom prst="rect">
                            <a:avLst/>
                          </a:prstGeom>
                          <a:noFill/>
                        </pic:spPr>
                      </pic:pic>
                    </a:graphicData>
                  </a:graphic>
                </wp:anchor>
              </w:drawing>
            </w:r>
          </w:p>
        </w:tc>
      </w:tr>
      <w:tr>
        <w:trPr>
          <w:trHeight w:val="403" w:hRule="exact"/>
        </w:trPr>
        <w:tc>
          <w:tcPr>
            <w:tcW w:w="3388" w:type="dxa"/>
            <w:tcBorders/>
            <w:vAlign w:val="center"/>
          </w:tcPr>
          <w:p>
            <w:pPr>
              <w:pStyle w:val="TableContents"/>
              <w:spacing w:before="0" w:after="200"/>
              <w:jc w:val="center"/>
              <w:rPr/>
            </w:pPr>
            <w:r>
              <w:rPr/>
              <w:t>contour.gcode</w:t>
            </w:r>
          </w:p>
        </w:tc>
        <w:tc>
          <w:tcPr>
            <w:tcW w:w="3389" w:type="dxa"/>
            <w:tcBorders/>
            <w:vAlign w:val="center"/>
          </w:tcPr>
          <w:p>
            <w:pPr>
              <w:pStyle w:val="TableContents"/>
              <w:spacing w:before="0" w:after="200"/>
              <w:jc w:val="center"/>
              <w:rPr/>
            </w:pPr>
            <w:r>
              <w:rPr/>
              <w:t>pocket_axis.gcode</w:t>
            </w:r>
          </w:p>
        </w:tc>
        <w:tc>
          <w:tcPr>
            <w:tcW w:w="3389" w:type="dxa"/>
            <w:tcBorders/>
            <w:vAlign w:val="center"/>
          </w:tcPr>
          <w:p>
            <w:pPr>
              <w:pStyle w:val="TableContents"/>
              <w:spacing w:before="0" w:after="200"/>
              <w:jc w:val="center"/>
              <w:rPr/>
            </w:pPr>
            <w:r>
              <w:rPr/>
              <w:t>raster_45.gcode</w:t>
            </w:r>
          </w:p>
        </w:tc>
      </w:tr>
      <w:tr>
        <w:trPr>
          <w:trHeight w:val="3413" w:hRule="exact"/>
        </w:trPr>
        <w:tc>
          <w:tcPr>
            <w:tcW w:w="3388" w:type="dxa"/>
            <w:tcBorders/>
            <w:vAlign w:val="center"/>
          </w:tcPr>
          <w:p>
            <w:pPr>
              <w:pStyle w:val="TableContents"/>
              <w:widowControl w:val="false"/>
              <w:suppressLineNumbers/>
              <w:spacing w:before="0" w:after="200"/>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2115185" cy="2115185"/>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24"/>
                          <a:stretch>
                            <a:fillRect/>
                          </a:stretch>
                        </pic:blipFill>
                        <pic:spPr bwMode="auto">
                          <a:xfrm>
                            <a:off x="0" y="0"/>
                            <a:ext cx="2115185" cy="2115185"/>
                          </a:xfrm>
                          <a:prstGeom prst="rect">
                            <a:avLst/>
                          </a:prstGeom>
                          <a:noFill/>
                        </pic:spPr>
                      </pic:pic>
                    </a:graphicData>
                  </a:graphic>
                </wp:anchor>
              </w:drawing>
            </w:r>
          </w:p>
        </w:tc>
        <w:tc>
          <w:tcPr>
            <w:tcW w:w="3389" w:type="dxa"/>
            <w:tcBorders/>
            <w:vAlign w:val="center"/>
          </w:tcPr>
          <w:p>
            <w:pPr>
              <w:pStyle w:val="TableContents"/>
              <w:widowControl w:val="false"/>
              <w:suppressLineNumbers/>
              <w:spacing w:before="0" w:after="200"/>
              <w:rPr/>
            </w:pPr>
            <w:r>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2115185" cy="2115185"/>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25"/>
                          <a:stretch>
                            <a:fillRect/>
                          </a:stretch>
                        </pic:blipFill>
                        <pic:spPr bwMode="auto">
                          <a:xfrm>
                            <a:off x="0" y="0"/>
                            <a:ext cx="2115185" cy="2115185"/>
                          </a:xfrm>
                          <a:prstGeom prst="rect">
                            <a:avLst/>
                          </a:prstGeom>
                          <a:noFill/>
                        </pic:spPr>
                      </pic:pic>
                    </a:graphicData>
                  </a:graphic>
                </wp:anchor>
              </w:drawing>
            </w:r>
          </w:p>
        </w:tc>
        <w:tc>
          <w:tcPr>
            <w:tcW w:w="3389" w:type="dxa"/>
            <w:tcBorders/>
            <w:vAlign w:val="center"/>
          </w:tcPr>
          <w:p>
            <w:pPr>
              <w:pStyle w:val="TableContents"/>
              <w:widowControl w:val="false"/>
              <w:suppressLineNumbers/>
              <w:spacing w:before="0" w:after="200"/>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115185" cy="2115185"/>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26"/>
                          <a:stretch>
                            <a:fillRect/>
                          </a:stretch>
                        </pic:blipFill>
                        <pic:spPr bwMode="auto">
                          <a:xfrm>
                            <a:off x="0" y="0"/>
                            <a:ext cx="2115185" cy="2115185"/>
                          </a:xfrm>
                          <a:prstGeom prst="rect">
                            <a:avLst/>
                          </a:prstGeom>
                          <a:noFill/>
                        </pic:spPr>
                      </pic:pic>
                    </a:graphicData>
                  </a:graphic>
                </wp:anchor>
              </w:drawing>
            </w:r>
          </w:p>
        </w:tc>
      </w:tr>
      <w:tr>
        <w:trPr>
          <w:trHeight w:val="403" w:hRule="exact"/>
        </w:trPr>
        <w:tc>
          <w:tcPr>
            <w:tcW w:w="3388" w:type="dxa"/>
            <w:tcBorders/>
            <w:vAlign w:val="center"/>
          </w:tcPr>
          <w:p>
            <w:pPr>
              <w:pStyle w:val="TableContents"/>
              <w:spacing w:before="0" w:after="200"/>
              <w:jc w:val="center"/>
              <w:rPr/>
            </w:pPr>
            <w:r>
              <w:rPr/>
              <w:t>Rapids.gcode</w:t>
            </w:r>
          </w:p>
        </w:tc>
        <w:tc>
          <w:tcPr>
            <w:tcW w:w="3389" w:type="dxa"/>
            <w:tcBorders/>
            <w:vAlign w:val="center"/>
          </w:tcPr>
          <w:p>
            <w:pPr>
              <w:pStyle w:val="TableContents"/>
              <w:spacing w:before="0" w:after="200"/>
              <w:jc w:val="center"/>
              <w:rPr/>
            </w:pPr>
            <w:r>
              <w:rPr/>
              <w:t>localized.gcode</w:t>
            </w:r>
          </w:p>
        </w:tc>
        <w:tc>
          <w:tcPr>
            <w:tcW w:w="3389" w:type="dxa"/>
            <w:tcBorders/>
            <w:vAlign w:val="center"/>
          </w:tcPr>
          <w:p>
            <w:pPr>
              <w:pStyle w:val="TableContents"/>
              <w:spacing w:before="0" w:after="200"/>
              <w:jc w:val="center"/>
              <w:rPr/>
            </w:pPr>
            <w:r>
              <w:rPr/>
              <w:t>finishing.gcode</w:t>
            </w:r>
          </w:p>
        </w:tc>
      </w:tr>
    </w:tbl>
    <w:p>
      <w:pPr>
        <w:pStyle w:val="BodyText"/>
        <w:jc w:val="both"/>
        <w:rPr>
          <w:color w:val="000000"/>
        </w:rPr>
      </w:pPr>
      <w:r>
        <w:rPr>
          <w:color w:val="000000"/>
        </w:rPr>
      </w:r>
    </w:p>
    <w:p>
      <w:pPr>
        <w:pStyle w:val="BodyText"/>
        <w:jc w:val="both"/>
        <w:rPr>
          <w:color w:val="000000"/>
        </w:rPr>
      </w:pPr>
      <w:r>
        <w:rPr>
          <w:color w:val="000000"/>
        </w:rPr>
      </w:r>
    </w:p>
    <w:p>
      <w:pPr>
        <w:pStyle w:val="BodyText"/>
        <w:jc w:val="both"/>
        <w:rPr>
          <w:color w:val="000000"/>
        </w:rPr>
      </w:pPr>
      <w:r>
        <w:rPr>
          <w:color w:val="000000"/>
        </w:rPr>
      </w:r>
    </w:p>
    <w:p>
      <w:pPr>
        <w:pStyle w:val="BodyText"/>
        <w:jc w:val="both"/>
        <w:rPr>
          <w:color w:val="000000"/>
        </w:rPr>
      </w:pPr>
      <w:r>
        <w:rPr>
          <w:color w:val="000000"/>
        </w:rPr>
      </w:r>
    </w:p>
    <w:p>
      <w:pPr>
        <w:pStyle w:val="Heading2"/>
        <w:jc w:val="both"/>
        <w:rPr>
          <w:color w:val="000000"/>
        </w:rPr>
      </w:pPr>
      <w:r>
        <w:rPr>
          <w:color w:val="000000"/>
        </w:rPr>
        <w:t>R</w:t>
      </w:r>
      <w:r>
        <w:rPr>
          <w:color w:val="000000"/>
        </w:rPr>
        <w:t>eferences</w:t>
      </w:r>
    </w:p>
    <w:p>
      <w:pPr>
        <w:pStyle w:val="Compact"/>
        <w:numPr>
          <w:ilvl w:val="0"/>
          <w:numId w:val="18"/>
        </w:numPr>
        <w:jc w:val="both"/>
        <w:rPr/>
      </w:pPr>
      <w:r>
        <w:rPr/>
        <w:t xml:space="preserve">T. Van Hook. </w:t>
      </w:r>
      <w:r>
        <w:rPr>
          <w:i/>
          <w:iCs/>
        </w:rPr>
        <w:t>Real-time shaded NC milling display.</w:t>
      </w:r>
      <w:r>
        <w:rPr/>
        <w:t xml:space="preserve"> Computer Graphics (Proc. SIGGRAPH ’86), 20(4):15-20, 1986.</w:t>
      </w:r>
    </w:p>
    <w:p>
      <w:pPr>
        <w:pStyle w:val="Compact"/>
        <w:numPr>
          <w:ilvl w:val="0"/>
          <w:numId w:val="19"/>
        </w:numPr>
        <w:jc w:val="both"/>
        <w:rPr/>
      </w:pPr>
      <w:r>
        <w:rPr/>
        <w:t xml:space="preserve">H. Müller, T. Surmann, M. Stautner, F. Albersmann, K. Weinert. </w:t>
      </w:r>
      <w:r>
        <w:rPr>
          <w:i/>
          <w:iCs/>
        </w:rPr>
        <w:t>Online sculpting and visualization of multi-dexel volumes.</w:t>
      </w:r>
      <w:r>
        <w:rPr/>
        <w:t xml:space="preserve"> Proc. 8th ACM Symposium on Solid Modeling and Applications (SM ’03), 258-261, 2003.</w:t>
      </w:r>
    </w:p>
    <w:p>
      <w:pPr>
        <w:pStyle w:val="Compact"/>
        <w:numPr>
          <w:ilvl w:val="0"/>
          <w:numId w:val="20"/>
        </w:numPr>
        <w:jc w:val="both"/>
        <w:rPr/>
      </w:pPr>
      <w:r>
        <w:rPr/>
        <w:t xml:space="preserve">B. Tukora, T. Szalay. </w:t>
      </w:r>
      <w:r>
        <w:rPr>
          <w:i/>
          <w:iCs/>
        </w:rPr>
        <w:t>Multi-dexel based material removal simulation and cutting force prediction with the use of general-purpose graphics processing units.</w:t>
      </w:r>
      <w:r>
        <w:rPr/>
        <w:t xml:space="preserve"> Advances in Engineering Software, 43(1):65-70, 2012.</w:t>
      </w:r>
    </w:p>
    <w:p>
      <w:pPr>
        <w:pStyle w:val="Compact"/>
        <w:numPr>
          <w:ilvl w:val="0"/>
          <w:numId w:val="21"/>
        </w:numPr>
        <w:jc w:val="both"/>
        <w:rPr/>
      </w:pPr>
      <w:r>
        <w:rPr/>
        <w:t xml:space="preserve">M. Inui, M. Kobayashi, N. Umezu. </w:t>
      </w:r>
      <w:r>
        <w:rPr>
          <w:i/>
          <w:iCs/>
        </w:rPr>
        <w:t>Cutter engagement feature extraction using triple-dexel representation workpiece model and GPU parallel processing.</w:t>
      </w:r>
      <w:r>
        <w:rPr/>
        <w:t xml:space="preserve"> Computer-Aided Design and Applications, 16(1):89-102, 2019.</w:t>
      </w:r>
    </w:p>
    <w:p>
      <w:pPr>
        <w:pStyle w:val="Compact"/>
        <w:numPr>
          <w:ilvl w:val="0"/>
          <w:numId w:val="22"/>
        </w:numPr>
        <w:jc w:val="both"/>
        <w:rPr/>
      </w:pPr>
      <w:r>
        <w:rPr/>
        <w:t xml:space="preserve">C. C. L. Wang, Y.-S. Leung, Y. Chen. </w:t>
      </w:r>
      <w:r>
        <w:rPr>
          <w:i/>
          <w:iCs/>
        </w:rPr>
        <w:t>Solid modeling of polyhedral objects by Layered Depth-Normal Images on the GPU.</w:t>
      </w:r>
      <w:r>
        <w:rPr/>
        <w:t xml:space="preserve"> Computer-Aided Design, 42(6):535-544, 2010.</w:t>
      </w:r>
    </w:p>
    <w:p>
      <w:pPr>
        <w:pStyle w:val="Compact"/>
        <w:numPr>
          <w:ilvl w:val="0"/>
          <w:numId w:val="10"/>
        </w:numPr>
        <w:jc w:val="both"/>
        <w:rPr/>
      </w:pPr>
      <w:r>
        <w:rPr/>
        <w:t xml:space="preserve">D. Blackmore, M. C. Leu, L. P. Wang. </w:t>
      </w:r>
      <w:r>
        <w:rPr>
          <w:i/>
          <w:iCs/>
        </w:rPr>
        <w:t>The sweep-envelope differential equation algorithm and its application to NC machining verification.</w:t>
      </w:r>
      <w:r>
        <w:rPr/>
        <w:t xml:space="preserve"> Computer-Aided Design, 29(9):629-637, 1997.</w:t>
      </w:r>
    </w:p>
    <w:p>
      <w:pPr>
        <w:pStyle w:val="Compact"/>
        <w:numPr>
          <w:ilvl w:val="0"/>
          <w:numId w:val="10"/>
        </w:numPr>
        <w:jc w:val="both"/>
        <w:rPr/>
      </w:pPr>
      <w:r>
        <w:rPr/>
        <w:t xml:space="preserve">K. Abdel-Malek, J. Yang, D. Blackmore, K. Joy. </w:t>
      </w:r>
      <w:r>
        <w:rPr>
          <w:i/>
          <w:iCs/>
        </w:rPr>
        <w:t>Swept volumes: foundation, perspectives, and applications.</w:t>
      </w:r>
      <w:r>
        <w:rPr/>
        <w:t xml:space="preserve"> International Journal of Shape Modeling, 12(1):87-127, 2006.</w:t>
      </w:r>
    </w:p>
    <w:p>
      <w:pPr>
        <w:pStyle w:val="Compact"/>
        <w:numPr>
          <w:ilvl w:val="0"/>
          <w:numId w:val="10"/>
        </w:numPr>
        <w:jc w:val="both"/>
        <w:rPr/>
      </w:pPr>
      <w:r>
        <w:rPr/>
        <w:t xml:space="preserve">W. E. Lorensen, H. E. Cline. </w:t>
      </w:r>
      <w:r>
        <w:rPr>
          <w:i/>
          <w:iCs/>
        </w:rPr>
        <w:t>Marching cubes: a high resolution 3D surface construction algorithm.</w:t>
      </w:r>
      <w:r>
        <w:rPr/>
        <w:t xml:space="preserve"> Computer Graphics (Proc. SIGGRAPH ’87), 21(4):163-169, 1987.</w:t>
      </w:r>
    </w:p>
    <w:p>
      <w:pPr>
        <w:pStyle w:val="Compact"/>
        <w:numPr>
          <w:ilvl w:val="0"/>
          <w:numId w:val="10"/>
        </w:numPr>
        <w:spacing w:before="36" w:after="36"/>
        <w:jc w:val="both"/>
        <w:rPr/>
      </w:pPr>
      <w:r>
        <w:rPr/>
        <w:t xml:space="preserve">C. Dyken, G. Ziegler, C. Theobalt, H.-P. Seidel. </w:t>
      </w:r>
      <w:r>
        <w:rPr>
          <w:i/>
          <w:iCs/>
        </w:rPr>
        <w:t>High-speed marching cubes using HistoPyramids.</w:t>
      </w:r>
      <w:r>
        <w:rPr/>
        <w:t xml:space="preserve"> Computer Graphics Forum, 27(8):2028-2039, 2008.</w:t>
      </w:r>
    </w:p>
    <w:p>
      <w:pPr>
        <w:pStyle w:val="Compact"/>
        <w:spacing w:before="36" w:after="36"/>
        <w:jc w:val="both"/>
        <w:rPr/>
      </w:pPr>
      <w:r>
        <w:rPr/>
      </w:r>
      <w:r>
        <w:br w:type="page"/>
      </w:r>
    </w:p>
    <w:p>
      <w:pPr>
        <w:pStyle w:val="BodyText"/>
        <w:bidi w:val="0"/>
        <w:spacing w:before="0" w:after="144"/>
        <w:ind w:hanging="0" w:left="0" w:right="0"/>
        <w:jc w:val="both"/>
        <w:rPr>
          <w:color w:val="auto"/>
        </w:rPr>
      </w:pPr>
      <w:r>
        <w:rPr>
          <w:rStyle w:val="Strong"/>
          <w:color w:val="auto"/>
        </w:rPr>
        <w:t>Declarations</w:t>
      </w:r>
    </w:p>
    <w:p>
      <w:pPr>
        <w:pStyle w:val="BodyText"/>
        <w:bidi w:val="0"/>
        <w:ind w:hanging="0" w:left="0" w:right="0"/>
        <w:jc w:val="both"/>
        <w:rPr/>
      </w:pPr>
      <w:r>
        <w:rPr>
          <w:rStyle w:val="Strong"/>
        </w:rPr>
        <w:t>Funding</w:t>
      </w:r>
      <w:r>
        <w:rPr/>
        <w:br/>
        <w:t>The authors declare that no funds, grants, or other support were received during the preparation of this manuscript.</w:t>
      </w:r>
    </w:p>
    <w:p>
      <w:pPr>
        <w:pStyle w:val="BodyText"/>
        <w:bidi w:val="0"/>
        <w:ind w:hanging="0" w:left="0" w:right="0"/>
        <w:jc w:val="both"/>
        <w:rPr/>
      </w:pPr>
      <w:r>
        <w:rPr>
          <w:rStyle w:val="Strong"/>
        </w:rPr>
        <w:t>Competing interests</w:t>
      </w:r>
    </w:p>
    <w:p>
      <w:pPr>
        <w:pStyle w:val="BodyText"/>
        <w:bidi w:val="0"/>
        <w:ind w:hanging="0" w:left="0" w:right="0"/>
        <w:jc w:val="both"/>
        <w:rPr/>
      </w:pPr>
      <w:r>
        <w:rPr/>
        <w:t>The authors have no relevant financial or non-financial interests to disclose.</w:t>
      </w:r>
    </w:p>
    <w:p>
      <w:pPr>
        <w:pStyle w:val="BodyText"/>
        <w:bidi w:val="0"/>
        <w:ind w:hanging="0" w:left="0" w:right="0"/>
        <w:jc w:val="both"/>
        <w:rPr/>
      </w:pPr>
      <w:r>
        <w:rPr>
          <w:rStyle w:val="Strong"/>
        </w:rPr>
        <w:t>Code and data availability</w:t>
      </w:r>
    </w:p>
    <w:p>
      <w:pPr>
        <w:pStyle w:val="BodyText"/>
        <w:bidi w:val="0"/>
        <w:ind w:hanging="0" w:left="0" w:right="0"/>
        <w:jc w:val="both"/>
        <w:rPr/>
      </w:pPr>
      <w:r>
        <w:rPr>
          <w:color w:val="auto"/>
        </w:rPr>
        <w:t xml:space="preserve">The simulator, the benchmark G-code programs, the voxelised tool models and the scripts that reproduce every table in this paper are openly available at </w:t>
      </w:r>
      <w:hyperlink r:id="rId27">
        <w:r>
          <w:rPr>
            <w:rStyle w:val="Hyperlink"/>
            <w:color w:val="000000"/>
          </w:rPr>
          <w:t>https://github.com/nik71b14/autocam</w:t>
        </w:r>
      </w:hyperlink>
      <w:r>
        <w:rPr>
          <w:color w:val="auto"/>
        </w:rPr>
        <w:t>.</w:t>
      </w:r>
      <w:r>
        <w:rPr/>
        <w:t xml:space="preserve"> The analytic continuum reference of §4.6 is included as a standalone script with no dependency on the GPU code path.</w:t>
      </w:r>
    </w:p>
    <w:p>
      <w:pPr>
        <w:pStyle w:val="BodyText"/>
        <w:bidi w:val="0"/>
        <w:ind w:hanging="0" w:left="0" w:right="0"/>
        <w:jc w:val="both"/>
        <w:rPr/>
      </w:pPr>
      <w:r>
        <w:rPr>
          <w:rStyle w:val="Strong"/>
        </w:rPr>
        <w:t>Author contributions</w:t>
      </w:r>
    </w:p>
    <w:p>
      <w:pPr>
        <w:pStyle w:val="BodyText"/>
        <w:bidi w:val="0"/>
        <w:ind w:hanging="0" w:left="0" w:right="0"/>
        <w:jc w:val="both"/>
        <w:rPr/>
      </w:pPr>
      <w:r>
        <w:rPr/>
        <w:t>[</w:t>
      </w:r>
      <w:r>
        <w:rPr>
          <w:shd w:fill="FFFF00" w:val="clear"/>
        </w:rPr>
        <w:t>to be completed</w:t>
      </w:r>
      <w:r>
        <w:rPr/>
        <w:t>]</w:t>
      </w:r>
    </w:p>
    <w:p>
      <w:pPr>
        <w:pStyle w:val="BodyText"/>
        <w:rPr>
          <w:color w:val="auto"/>
        </w:rPr>
      </w:pPr>
      <w:r>
        <w:rPr>
          <w:color w:val="auto"/>
        </w:rPr>
      </w:r>
    </w:p>
    <w:p>
      <w:pPr>
        <w:pStyle w:val="Compact"/>
        <w:spacing w:before="36" w:after="36"/>
        <w:jc w:val="both"/>
        <w:rPr/>
      </w:pPr>
      <w:r>
        <w:rPr/>
      </w:r>
    </w:p>
    <w:sectPr>
      <w:headerReference w:type="even" r:id="rId28"/>
      <w:headerReference w:type="default" r:id="rId29"/>
      <w:headerReference w:type="first" r:id="rId30"/>
      <w:type w:val="nextPage"/>
      <w:pgSz w:w="11906" w:h="16838"/>
      <w:pgMar w:left="1440" w:right="1440" w:gutter="0" w:header="342" w:top="1059"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Mono">
    <w:altName w:val="Courier New"/>
    <w:charset w:val="01"/>
    <w:family w:val="roman"/>
    <w:pitch w:val="variable"/>
  </w:font>
  <w:font w:name="OpenSymbol">
    <w:altName w:val="Arial Unicode MS"/>
    <w:charset w:val="02"/>
    <w:family w:val="swiss"/>
    <w:pitch w:val="variable"/>
  </w:font>
  <w:font w:name="Liberation Sans">
    <w:altName w:val="Arial"/>
    <w:charset w:val="01"/>
    <w:family w:val="swiss"/>
    <w:pitch w:val="variable"/>
  </w:font>
  <w:font w:name="Arial">
    <w:charset w:val="01"/>
    <w:family w:val="swiss"/>
    <w:pitch w:val="default"/>
  </w:font>
  <w:font w:name="Liberation Mono">
    <w:altName w:val="Courier New"/>
    <w:charset w:val="01"/>
    <w:family w:val="modern"/>
    <w:pitch w:val="fixed"/>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before="0" w:after="0"/>
      <w:jc w:val="both"/>
      <w:rPr>
        <w:color w:val="808080"/>
        <w:sz w:val="20"/>
        <w:szCs w:val="20"/>
      </w:rPr>
    </w:pPr>
    <w:r>
      <w:rPr>
        <w:color w:val="808080"/>
        <w:sz w:val="20"/>
        <w:szCs w:val="20"/>
      </w:rPr>
      <w:t>To be submitted to: International Journal of Advanced Manufacturing Technology (IJAMT)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before="0" w:after="0"/>
      <w:jc w:val="both"/>
      <w:rPr>
        <w:color w:val="808080"/>
        <w:sz w:val="20"/>
        <w:szCs w:val="20"/>
      </w:rPr>
    </w:pPr>
    <w:r>
      <w:rPr>
        <w:color w:val="808080"/>
        <w:sz w:val="20"/>
        <w:szCs w:val="20"/>
      </w:rPr>
      <w:t>To be submitted to: International Journal of Advanced Manufacturing Technology (IJAMT)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11">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12">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13">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6"/>
    <w:lvlOverride w:ilvl="0">
      <w:startOverride w:val="1"/>
    </w:lvlOverride>
  </w:num>
  <w:num w:numId="16">
    <w:abstractNumId w:val="6"/>
    <w:lvlOverride w:ilvl="0">
      <w:startOverride w:val="1"/>
    </w:lvlOverride>
  </w:num>
  <w:num w:numId="17">
    <w:abstractNumId w:val="8"/>
    <w:lvlOverride w:ilvl="0">
      <w:startOverride w:val="2"/>
    </w:lvlOverride>
  </w:num>
  <w:num w:numId="18">
    <w:abstractNumId w:val="6"/>
    <w:lvlOverride w:ilvl="0">
      <w:startOverride w:val="1"/>
    </w:lvlOverride>
  </w:num>
  <w:num w:numId="19">
    <w:abstractNumId w:val="10"/>
    <w:lvlOverride w:ilvl="0">
      <w:startOverride w:val="8"/>
    </w:lvlOverride>
  </w:num>
  <w:num w:numId="20">
    <w:abstractNumId w:val="10"/>
    <w:lvlOverride w:ilvl="0">
      <w:startOverride w:val="8"/>
    </w:lvlOverride>
  </w:num>
  <w:num w:numId="21">
    <w:abstractNumId w:val="10"/>
    <w:lvlOverride w:ilvl="0">
      <w:startOverride w:val="8"/>
    </w:lvlOverride>
  </w:num>
  <w:num w:numId="22">
    <w:abstractNumId w:val="10"/>
    <w:lvlOverride w:ilvl="0">
      <w:startOverride w:val="8"/>
    </w:lvlOverride>
  </w:num>
</w:numbering>
</file>

<file path=word/settings.xml><?xml version="1.0" encoding="utf-8"?>
<w:settings xmlns:w="http://schemas.openxmlformats.org/wordprocessingml/2006/main">
  <w:zoom w:percent="2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rial" w:hAnsi="Arial" w:eastAsia="Arial"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Arial" w:hAnsi="Arial"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88" w:after="230"/>
      <w:outlineLvl w:val="1"/>
    </w:pPr>
    <w:rPr>
      <w:rFonts w:ascii="Arial" w:hAnsi="Arial"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30" w:after="202"/>
      <w:outlineLvl w:val="2"/>
    </w:pPr>
    <w:rPr>
      <w:rFonts w:ascii="Arial" w:hAnsi="Arial"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Arial" w:hAnsi="Arial"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Arial" w:hAnsi="Arial"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Arial" w:hAnsi="Arial"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Arial" w:hAnsi="Arial"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Arial" w:hAnsi="Arial"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Arial" w:hAnsi="Arial"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Liberation Mono" w:hAnsi="Liberation Mono"/>
      <w:sz w:val="22"/>
    </w:rPr>
  </w:style>
  <w:style w:type="character" w:styleId="SectionNumber" w:customStyle="1">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lineRule="auto" w:line="360" w:before="0" w:after="144"/>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Arial" w:hAnsi="Arial"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Arial" w:hAnsi="Arial" w:eastAsia="Arial"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rial" w:hAnsi="Arial" w:eastAsia="Arial"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spacing w:lineRule="auto" w:line="288" w:before="461" w:after="461"/>
      <w:jc w:val="both"/>
    </w:pPr>
    <w:rPr>
      <w:sz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Arial" w:hAnsi="Arial"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ableContents">
    <w:name w:val="Table Contents"/>
    <w:basedOn w:val="Normal"/>
    <w:qFormat/>
    <w:pPr>
      <w:widowControl w:val="false"/>
      <w:suppressLineNumbers/>
    </w:pPr>
    <w:rPr>
      <w:sz w:val="20"/>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BlockQuotationuser">
    <w:name w:val="Block Quotation (user)"/>
    <w:basedOn w:val="Normal"/>
    <w:qFormat/>
    <w:pPr>
      <w:spacing w:before="0" w:after="283"/>
      <w:ind w:hanging="0" w:left="567" w:righ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scuor@units.it" TargetMode="External"/><Relationship Id="rId3" Type="http://schemas.openxmlformats.org/officeDocument/2006/relationships/image" Target="media/image1.png"/><Relationship Id="rId4" Type="http://schemas.openxmlformats.org/officeDocument/2006/relationships/image" Target="media/image2.svg"/><Relationship Id="rId5" Type="http://schemas.openxmlformats.org/officeDocument/2006/relationships/image" Target="media/image3.png"/><Relationship Id="rId6" Type="http://schemas.openxmlformats.org/officeDocument/2006/relationships/image" Target="media/image4.svg"/><Relationship Id="rId7" Type="http://schemas.openxmlformats.org/officeDocument/2006/relationships/image" Target="media/image5.png"/><Relationship Id="rId8" Type="http://schemas.openxmlformats.org/officeDocument/2006/relationships/image" Target="media/image6.svg"/><Relationship Id="rId9" Type="http://schemas.openxmlformats.org/officeDocument/2006/relationships/image" Target="media/image7.png"/><Relationship Id="rId10" Type="http://schemas.openxmlformats.org/officeDocument/2006/relationships/image" Target="media/image8.sv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svg"/><Relationship Id="rId14" Type="http://schemas.openxmlformats.org/officeDocument/2006/relationships/image" Target="media/image12.png"/><Relationship Id="rId15" Type="http://schemas.openxmlformats.org/officeDocument/2006/relationships/image" Target="media/image13.svg"/><Relationship Id="rId16" Type="http://schemas.openxmlformats.org/officeDocument/2006/relationships/image" Target="media/image14.png"/><Relationship Id="rId17" Type="http://schemas.openxmlformats.org/officeDocument/2006/relationships/image" Target="media/image15.sv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hyperlink" Target="https://github.com/nik71b14/autocam" TargetMode="External"/><Relationship Id="rId28" Type="http://schemas.openxmlformats.org/officeDocument/2006/relationships/header" Target="header1.xml"/><Relationship Id="rId29" Type="http://schemas.openxmlformats.org/officeDocument/2006/relationships/header" Target="header2.xml"/><Relationship Id="rId30" Type="http://schemas.openxmlformats.org/officeDocument/2006/relationships/header" Target="head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452</TotalTime>
  <Application>LibreOffice/26.2.5.2$Linux_X86_64 LibreOffice_project/6d2b0d33fb0f5da53a12f98bed3e9973e56ff1f0</Application>
  <AppVersion>15.0000</AppVersion>
  <Pages>40</Pages>
  <Words>12092</Words>
  <Characters>63318</Characters>
  <CharactersWithSpaces>74940</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2026-09-02T05:16:16Z</dcterms:created>
  <dc:creator/>
  <dc:description/>
  <dc:language>en-US</dc:language>
  <cp:lastModifiedBy/>
  <dcterms:modified xsi:type="dcterms:W3CDTF">2026-09-04T15:33:57Z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