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Регламент технического обслуживания контроллера PX-400</w:t>
      </w:r>
    </w:p>
    <w:p>
      <w:r>
        <w:rPr>
          <w:b/>
        </w:rPr>
        <w:t xml:space="preserve">Документ: </w:t>
      </w:r>
      <w:r>
        <w:t>ТО-PX400-2026, редакция 2.1</w:t>
      </w:r>
    </w:p>
    <w:p>
      <w:pPr>
        <w:pStyle w:val="Heading1"/>
      </w:pPr>
      <w:r>
        <w:t>1. Назначение</w:t>
      </w:r>
    </w:p>
    <w:p>
      <w:r>
        <w:t>Контроллер PX-400 предназначен для сбора дискретных и аналоговых сигналов, локального управления оборудованием и передачи данных в SCADA-систему. Основной интерфейс связи — RS-485, протокол — Modbus RTU.</w:t>
      </w:r>
    </w:p>
    <w:p>
      <w:pPr>
        <w:pStyle w:val="Heading1"/>
      </w:pPr>
      <w:r>
        <w:t>2. Периодическое обслуживание</w:t>
      </w:r>
    </w:p>
    <w:p>
      <w:r>
        <w:t>Плановое техническое обслуживание PX-400 выполняется каждые 6 месяцев или после 4000 часов работы — в зависимости от того, что наступит раньше.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Интервал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Допуск/критерий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Действие при отклонении</w:t>
            </w:r>
          </w:p>
        </w:tc>
      </w:tr>
      <w:tr>
        <w:tc>
          <w:tcPr>
            <w:tcW w:type="dxa" w:w="2160"/>
            <w:vAlign w:val="center"/>
          </w:tcPr>
          <w:p>
            <w:r>
              <w:t>Проверка питания</w:t>
            </w:r>
          </w:p>
        </w:tc>
        <w:tc>
          <w:tcPr>
            <w:tcW w:type="dxa" w:w="2160"/>
            <w:vAlign w:val="center"/>
          </w:tcPr>
          <w:p>
            <w:r>
              <w:t>6 месяцев</w:t>
            </w:r>
          </w:p>
        </w:tc>
        <w:tc>
          <w:tcPr>
            <w:tcW w:type="dxa" w:w="2160"/>
            <w:vAlign w:val="center"/>
          </w:tcPr>
          <w:p>
            <w:r>
              <w:t>24 В ±10 %</w:t>
            </w:r>
          </w:p>
        </w:tc>
        <w:tc>
          <w:tcPr>
            <w:tcW w:type="dxa" w:w="2160"/>
            <w:vAlign w:val="center"/>
          </w:tcPr>
          <w:p>
            <w:r>
              <w:t>Проверить источник питания и клеммы</w:t>
            </w:r>
          </w:p>
        </w:tc>
      </w:tr>
      <w:tr>
        <w:tc>
          <w:tcPr>
            <w:tcW w:type="dxa" w:w="2160"/>
            <w:vAlign w:val="center"/>
          </w:tcPr>
          <w:p>
            <w:r>
              <w:t>Контроль температуры корпуса</w:t>
            </w:r>
          </w:p>
        </w:tc>
        <w:tc>
          <w:tcPr>
            <w:tcW w:type="dxa" w:w="2160"/>
            <w:vAlign w:val="center"/>
          </w:tcPr>
          <w:p>
            <w:r>
              <w:t>6 месяцев</w:t>
            </w:r>
          </w:p>
        </w:tc>
        <w:tc>
          <w:tcPr>
            <w:tcW w:type="dxa" w:w="2160"/>
            <w:vAlign w:val="center"/>
          </w:tcPr>
          <w:p>
            <w:r>
              <w:t>не более 55 °C</w:t>
            </w:r>
          </w:p>
        </w:tc>
        <w:tc>
          <w:tcPr>
            <w:tcW w:type="dxa" w:w="2160"/>
            <w:vAlign w:val="center"/>
          </w:tcPr>
          <w:p>
            <w:r>
              <w:t>Проверить вентиляцию шкафа</w:t>
            </w:r>
          </w:p>
        </w:tc>
      </w:tr>
      <w:tr>
        <w:tc>
          <w:tcPr>
            <w:tcW w:type="dxa" w:w="2160"/>
            <w:vAlign w:val="center"/>
          </w:tcPr>
          <w:p>
            <w:r>
              <w:t>Проверка линии RS-485</w:t>
            </w:r>
          </w:p>
        </w:tc>
        <w:tc>
          <w:tcPr>
            <w:tcW w:type="dxa" w:w="2160"/>
            <w:vAlign w:val="center"/>
          </w:tcPr>
          <w:p>
            <w:r>
              <w:t>12 месяцев</w:t>
            </w:r>
          </w:p>
        </w:tc>
        <w:tc>
          <w:tcPr>
            <w:tcW w:type="dxa" w:w="2160"/>
            <w:vAlign w:val="center"/>
          </w:tcPr>
          <w:p>
            <w:r>
              <w:t>сопротивление терминатора 120 Ом ±5 %</w:t>
            </w:r>
          </w:p>
        </w:tc>
        <w:tc>
          <w:tcPr>
            <w:tcW w:type="dxa" w:w="2160"/>
            <w:vAlign w:val="center"/>
          </w:tcPr>
          <w:p>
            <w:r>
              <w:t>Заменить терминатор</w:t>
            </w:r>
          </w:p>
        </w:tc>
      </w:tr>
      <w:tr>
        <w:tc>
          <w:tcPr>
            <w:tcW w:type="dxa" w:w="2160"/>
            <w:vAlign w:val="center"/>
          </w:tcPr>
          <w:p>
            <w:r>
              <w:t>Резервное копирование конфигурации</w:t>
            </w:r>
          </w:p>
        </w:tc>
        <w:tc>
          <w:tcPr>
            <w:tcW w:type="dxa" w:w="2160"/>
            <w:vAlign w:val="center"/>
          </w:tcPr>
          <w:p>
            <w:r>
              <w:t>после каждого изменения</w:t>
            </w:r>
          </w:p>
        </w:tc>
        <w:tc>
          <w:tcPr>
            <w:tcW w:type="dxa" w:w="2160"/>
            <w:vAlign w:val="center"/>
          </w:tcPr>
          <w:p>
            <w:r>
              <w:t>актуальная копия .pxcfg</w:t>
            </w:r>
          </w:p>
        </w:tc>
        <w:tc>
          <w:tcPr>
            <w:tcW w:type="dxa" w:w="2160"/>
            <w:vAlign w:val="center"/>
          </w:tcPr>
          <w:p>
            <w:r>
              <w:t>Создать новую резервную копию</w:t>
            </w:r>
          </w:p>
        </w:tc>
      </w:tr>
    </w:tbl>
    <w:p>
      <w:pPr>
        <w:pStyle w:val="Heading1"/>
      </w:pPr>
      <w:r>
        <w:t>3. Аварийные условия</w:t>
      </w:r>
    </w:p>
    <w:p>
      <w:r>
        <w:t>При температуре корпуса выше 70 °C контроллер необходимо немедленно вывести из эксплуатации. Повторное включение допускается только после охлаждения корпуса ниже 45 °C и устранения причины перегрева.</w:t>
      </w:r>
    </w:p>
    <w:p>
      <w:r>
        <w:t>При напряжении питания ниже 20 В или выше 28 В эксплуатация PX-400 запрещена.</w:t>
      </w:r>
    </w:p>
    <w:p>
      <w:pPr>
        <w:pStyle w:val="Heading1"/>
      </w:pPr>
      <w:r>
        <w:t>4. Сетевые настройки по умолчанию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Интерфейс</w:t>
            </w:r>
          </w:p>
        </w:tc>
        <w:tc>
          <w:tcPr>
            <w:tcW w:type="dxa" w:w="4320"/>
          </w:tcPr>
          <w:p>
            <w:r>
              <w:t>RS-485</w:t>
            </w:r>
          </w:p>
        </w:tc>
      </w:tr>
      <w:tr>
        <w:tc>
          <w:tcPr>
            <w:tcW w:type="dxa" w:w="4320"/>
          </w:tcPr>
          <w:p>
            <w:r>
              <w:t>Протокол</w:t>
            </w:r>
          </w:p>
        </w:tc>
        <w:tc>
          <w:tcPr>
            <w:tcW w:type="dxa" w:w="4320"/>
          </w:tcPr>
          <w:p>
            <w:r>
              <w:t>Modbus RTU</w:t>
            </w:r>
          </w:p>
        </w:tc>
      </w:tr>
      <w:tr>
        <w:tc>
          <w:tcPr>
            <w:tcW w:type="dxa" w:w="4320"/>
          </w:tcPr>
          <w:p>
            <w:r>
              <w:t>Скорость</w:t>
            </w:r>
          </w:p>
        </w:tc>
        <w:tc>
          <w:tcPr>
            <w:tcW w:type="dxa" w:w="4320"/>
          </w:tcPr>
          <w:p>
            <w:r>
              <w:t>19200 бит/с</w:t>
            </w:r>
          </w:p>
        </w:tc>
      </w:tr>
      <w:tr>
        <w:tc>
          <w:tcPr>
            <w:tcW w:type="dxa" w:w="4320"/>
          </w:tcPr>
          <w:p>
            <w:r>
              <w:t>Формат</w:t>
            </w:r>
          </w:p>
        </w:tc>
        <w:tc>
          <w:tcPr>
            <w:tcW w:type="dxa" w:w="4320"/>
          </w:tcPr>
          <w:p>
            <w:r>
              <w:t>8N1</w:t>
            </w:r>
          </w:p>
        </w:tc>
      </w:tr>
      <w:tr>
        <w:tc>
          <w:tcPr>
            <w:tcW w:type="dxa" w:w="4320"/>
          </w:tcPr>
          <w:p>
            <w:r>
              <w:t>Сетевой адрес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1"/>
      </w:pPr>
      <w:r>
        <w:t>5. Примечания</w:t>
      </w:r>
    </w:p>
    <w:p>
      <w:r>
        <w:t>Интервал 4000 часов относится только к плановому обслуживанию и не отменяет немедленную остановку при аварийных условиях. Значение 55 °C является критерием плановой проверки, а 70 °C — аварийным порогом.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