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Microservices System Architecture Specification</w:t>
      </w:r>
    </w:p>
    <w:p>
      <w:r>
        <w:t>SmartDocs platform indexes complex corporate multi-format documents. The ingestion subsystem handles Word documents, Excel spreadsheets, PDF files, and Markdown catalogs. The architecture employs a two-stage retrieval pipeline: local multilingual Bi-Encoder (BGE-M3 ONNX) and Cross-Encoder reranker.</w:t>
      </w:r>
    </w:p>
    <w:p>
      <w:pPr>
        <w:pStyle w:val="Heading2"/>
      </w:pPr>
      <w:r>
        <w:t>Core Platform Components and SLA Guarantees</w:t>
      </w:r>
    </w:p>
    <w:tbl>
      <w:tr>
        <w:tc>
          <w:p>
            <w:r>
              <w:t>Component</w:t>
            </w:r>
          </w:p>
        </w:tc>
        <w:tc>
          <w:p>
            <w:r>
              <w:t>Purpose</w:t>
            </w:r>
          </w:p>
        </w:tc>
        <w:tc>
          <w:p>
            <w:r>
              <w:t>Technology Stack</w:t>
            </w:r>
          </w:p>
        </w:tc>
        <w:tc>
          <w:p>
            <w:r>
              <w:t>SLA Uptime</w:t>
            </w:r>
          </w:p>
        </w:tc>
      </w:tr>
      <w:tr>
        <w:tc>
          <w:p>
            <w:r>
              <w:t>Embedding Engine</w:t>
            </w:r>
          </w:p>
        </w:tc>
        <w:tc>
          <w:p>
            <w:r>
              <w:t>Dense multilingual vector search</w:t>
            </w:r>
          </w:p>
        </w:tc>
        <w:tc>
          <w:p>
            <w:r>
              <w:t>BGE-M3 (ONNX Local)</w:t>
            </w:r>
          </w:p>
        </w:tc>
        <w:tc>
          <w:p>
            <w:r>
              <w:t>99.99%</w:t>
            </w:r>
          </w:p>
        </w:tc>
      </w:tr>
      <w:tr>
        <w:tc>
          <w:p>
            <w:r>
              <w:t>Reranker</w:t>
            </w:r>
          </w:p>
        </w:tc>
        <w:tc>
          <w:p>
            <w:r>
              <w:t>Candidate reranking</w:t>
            </w:r>
          </w:p>
        </w:tc>
        <w:tc>
          <w:p>
            <w:r>
              <w:t>bge-reranker-v2-m3 (ONNX)</w:t>
            </w:r>
          </w:p>
        </w:tc>
        <w:tc>
          <w:p>
            <w:r>
              <w:t>99.95%</w:t>
            </w:r>
          </w:p>
        </w:tc>
      </w:tr>
      <w:tr>
        <w:tc>
          <w:p>
            <w:r>
              <w:t>Vector Database</w:t>
            </w:r>
          </w:p>
        </w:tc>
        <w:tc>
          <w:p>
            <w:r>
              <w:t>Dense embedding index</w:t>
            </w:r>
          </w:p>
        </w:tc>
        <w:tc>
          <w:p>
            <w:r>
              <w:t>Qdrant Client</w:t>
            </w:r>
          </w:p>
        </w:tc>
        <w:tc>
          <w:p>
            <w:r>
              <w:t>99.90%</w:t>
            </w:r>
          </w:p>
        </w:tc>
      </w:tr>
      <w:tr>
        <w:tc>
          <w:p>
            <w:r>
              <w:t>Distributed Cache</w:t>
            </w:r>
          </w:p>
        </w:tc>
        <w:tc>
          <w:p>
            <w:r>
              <w:t>Query and session cache</w:t>
            </w:r>
          </w:p>
        </w:tc>
        <w:tc>
          <w:p>
            <w:r>
              <w:t>Redis Cluster</w:t>
            </w:r>
          </w:p>
        </w:tc>
        <w:tc>
          <w:p>
            <w:r>
              <w:t>99.99%</w:t>
            </w:r>
          </w:p>
        </w:tc>
      </w:tr>
    </w:tbl>
    <w:p>
      <w:pPr>
        <w:pStyle w:val="Heading2"/>
      </w:pPr>
      <w:r>
        <w:t>Architecture Diagram and Data Flow</w:t>
      </w:r>
    </w:p>
    <w:p>
      <w:r>
        <w:t>The diagram below depicts client traffic entering through the API Gateway, routed to Auth and Catalog services, with Redis distributed caching and PostgreSQL cluster persistence:</w:t>
      </w:r>
    </w:p>
  </w:body>
</w:document>
</file>

<file path=word/_rels/document.xml.rels>&#65279;<?xml version="1.0" encoding="UTF-8" standalone="yes"?>
<Relationships xmlns="http://schemas.openxmlformats.org/package/2006/relationships">
  <Relationship Id="rIdImg1" Type="http://schemas.openxmlformats.org/officeDocument/2006/relationships/image" Target="media/architecture_diagram.png"/>
</Relationships>
</file>