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45E69" w:rsidRDefault="00B56210" w:rsidP="00145E69">
      <w:pPr>
        <w:pStyle w:val="Title"/>
        <w:widowControl w:val="0"/>
        <w:pBdr>
          <w:top w:val="single" w:sz="12" w:space="25" w:color="C0504D" w:themeColor="accent2"/>
        </w:pBdr>
        <w:spacing w:after="0"/>
        <w:jc w:val="left"/>
        <w:rPr>
          <w:rFonts w:ascii="HelveticaNeueLT Std" w:hAnsi="HelveticaNeueLT Std"/>
          <w:sz w:val="40"/>
          <w:szCs w:val="40"/>
        </w:rPr>
      </w:pPr>
      <w:r>
        <w:rPr>
          <w:rFonts w:ascii="HelveticaNeueLT Std" w:hAnsi="HelveticaNeueLT Std"/>
          <w:sz w:val="40"/>
          <w:szCs w:val="40"/>
        </w:rPr>
        <w:t>Indiana</w:t>
      </w:r>
      <w:r w:rsidR="00145E69" w:rsidRPr="00145E69">
        <w:rPr>
          <w:rFonts w:ascii="HelveticaNeueLT Std" w:hAnsi="HelveticaNeueLT Std"/>
          <w:sz w:val="40"/>
          <w:szCs w:val="40"/>
        </w:rPr>
        <w:t xml:space="preserve"> Counties</w:t>
      </w:r>
    </w:p>
    <w:p w:rsidR="000907C0" w:rsidRPr="00145E69" w:rsidRDefault="00145E69" w:rsidP="00145E69">
      <w:pPr>
        <w:pStyle w:val="Title"/>
        <w:widowControl w:val="0"/>
        <w:pBdr>
          <w:top w:val="single" w:sz="12" w:space="25" w:color="C0504D" w:themeColor="accent2"/>
        </w:pBdr>
        <w:spacing w:after="0"/>
        <w:jc w:val="left"/>
        <w:rPr>
          <w:rFonts w:ascii="HelveticaNeueLT Std" w:hAnsi="HelveticaNeueLT Std"/>
          <w:sz w:val="40"/>
          <w:szCs w:val="40"/>
        </w:rPr>
      </w:pPr>
      <w:r w:rsidRPr="00145E69">
        <w:rPr>
          <w:rFonts w:ascii="HelveticaNeueLT Std" w:hAnsi="HelveticaNeueLT Std"/>
          <w:sz w:val="40"/>
          <w:szCs w:val="40"/>
        </w:rPr>
        <w:t>State Summary of Transportation Funding and Finance</w:t>
      </w:r>
    </w:p>
    <w:p w:rsidR="006C5D9A" w:rsidRPr="00C375C3" w:rsidRDefault="00145E69" w:rsidP="00145E69">
      <w:pPr>
        <w:pStyle w:val="Heading2"/>
        <w:spacing w:line="240" w:lineRule="auto"/>
        <w:rPr>
          <w:rFonts w:ascii="HelveticaNeueLT Std" w:hAnsi="HelveticaNeueLT Std"/>
          <w:b/>
        </w:rPr>
      </w:pPr>
      <w:r>
        <w:rPr>
          <w:rFonts w:ascii="HelveticaNeueLT Std" w:hAnsi="HelveticaNeueLT Std"/>
          <w:b/>
        </w:rPr>
        <w:t>Transportation and Financial Authority</w:t>
      </w:r>
      <w:r w:rsidR="006C5D9A" w:rsidRPr="00C375C3">
        <w:rPr>
          <w:rFonts w:ascii="HelveticaNeueLT Std" w:hAnsi="HelveticaNeueLT Std"/>
          <w:b/>
        </w:rPr>
        <w:t>:</w:t>
      </w:r>
    </w:p>
    <w:p w:rsidR="00B56210" w:rsidRPr="00B56210" w:rsidRDefault="00B56210" w:rsidP="00B56210">
      <w:pPr>
        <w:spacing w:after="0" w:line="240" w:lineRule="auto"/>
        <w:rPr>
          <w:rFonts w:ascii="Arial" w:eastAsia="Times New Roman" w:hAnsi="Arial" w:cs="Arial"/>
          <w:color w:val="000000"/>
          <w:sz w:val="22"/>
          <w:szCs w:val="22"/>
        </w:rPr>
      </w:pPr>
      <w:r w:rsidRPr="00B56210">
        <w:rPr>
          <w:rFonts w:ascii="Arial" w:eastAsia="Times New Roman" w:hAnsi="Arial" w:cs="Arial"/>
          <w:color w:val="000000"/>
          <w:sz w:val="22"/>
          <w:szCs w:val="22"/>
        </w:rPr>
        <w:t>Counties have authority to:</w:t>
      </w:r>
    </w:p>
    <w:p w:rsidR="00B56210" w:rsidRPr="00B56210" w:rsidRDefault="00B56210" w:rsidP="00B56210">
      <w:pPr>
        <w:spacing w:line="240" w:lineRule="auto"/>
        <w:rPr>
          <w:rFonts w:ascii="Arial" w:hAnsi="Arial" w:cs="Arial"/>
          <w:sz w:val="22"/>
          <w:szCs w:val="22"/>
        </w:rPr>
      </w:pPr>
      <w:r w:rsidRPr="00B56210">
        <w:rPr>
          <w:rFonts w:ascii="Arial" w:hAnsi="Arial" w:cs="Arial"/>
          <w:sz w:val="22"/>
          <w:szCs w:val="22"/>
        </w:rPr>
        <w:t>• Levy real property taxes</w:t>
      </w:r>
    </w:p>
    <w:p w:rsidR="00B56210" w:rsidRPr="00B56210" w:rsidRDefault="00B56210" w:rsidP="00B56210">
      <w:pPr>
        <w:spacing w:line="240" w:lineRule="auto"/>
        <w:rPr>
          <w:rFonts w:ascii="Arial" w:hAnsi="Arial" w:cs="Arial"/>
          <w:sz w:val="22"/>
          <w:szCs w:val="22"/>
        </w:rPr>
      </w:pPr>
      <w:r w:rsidRPr="00B56210">
        <w:rPr>
          <w:rFonts w:ascii="Arial" w:hAnsi="Arial" w:cs="Arial"/>
          <w:sz w:val="22"/>
          <w:szCs w:val="22"/>
        </w:rPr>
        <w:t>• Establish special taxing districts for various purposes, such as economic development.</w:t>
      </w:r>
    </w:p>
    <w:p w:rsidR="00B56210" w:rsidRPr="00B56210" w:rsidRDefault="00B56210" w:rsidP="00B56210">
      <w:pPr>
        <w:spacing w:line="240" w:lineRule="auto"/>
        <w:rPr>
          <w:rFonts w:ascii="Arial" w:hAnsi="Arial" w:cs="Arial"/>
          <w:sz w:val="22"/>
          <w:szCs w:val="22"/>
        </w:rPr>
      </w:pPr>
      <w:r w:rsidRPr="00B56210">
        <w:rPr>
          <w:rFonts w:ascii="Arial" w:hAnsi="Arial" w:cs="Arial"/>
          <w:sz w:val="22"/>
          <w:szCs w:val="22"/>
        </w:rPr>
        <w:t>• Levy an ad valorem tax on all tangible property unless it is exempted. In general, vehicles that are subject to license or excise taxes are exempt from ad valorem property taxes. (Intangible personal property is presumably exempt from taxation.)</w:t>
      </w:r>
    </w:p>
    <w:p w:rsidR="00B56210" w:rsidRPr="00B56210" w:rsidRDefault="00B56210" w:rsidP="00B56210">
      <w:pPr>
        <w:spacing w:line="240" w:lineRule="auto"/>
        <w:rPr>
          <w:rFonts w:ascii="Arial" w:hAnsi="Arial" w:cs="Arial"/>
          <w:sz w:val="22"/>
          <w:szCs w:val="22"/>
        </w:rPr>
      </w:pPr>
      <w:r w:rsidRPr="00B56210">
        <w:rPr>
          <w:rFonts w:ascii="Arial" w:hAnsi="Arial" w:cs="Arial"/>
          <w:sz w:val="22"/>
          <w:szCs w:val="22"/>
        </w:rPr>
        <w:t>• Levy a wheel tax and an annual license tax on commercial and personal motor vehicles with variable rates.</w:t>
      </w:r>
    </w:p>
    <w:p w:rsidR="00B56210" w:rsidRPr="00B56210" w:rsidRDefault="00B56210" w:rsidP="00B56210">
      <w:pPr>
        <w:spacing w:line="240" w:lineRule="auto"/>
        <w:rPr>
          <w:rFonts w:ascii="Arial" w:hAnsi="Arial" w:cs="Arial"/>
          <w:sz w:val="22"/>
          <w:szCs w:val="22"/>
        </w:rPr>
      </w:pPr>
      <w:r w:rsidRPr="00B56210">
        <w:rPr>
          <w:rFonts w:ascii="Arial" w:hAnsi="Arial" w:cs="Arial"/>
          <w:sz w:val="22"/>
          <w:szCs w:val="22"/>
        </w:rPr>
        <w:t>• Levy one of two income taxes: One possibility is a county gross adjusted income tax with various rates no greater than 1 percent among which a county can choose. Another possibility is a county option income tax with an established rate that increases a set amount each year until reaching a maximum of 0.6 percent for residents and 0.15 percent for non-residents.</w:t>
      </w:r>
    </w:p>
    <w:p w:rsidR="00B56210" w:rsidRPr="00B56210" w:rsidRDefault="00B56210" w:rsidP="00B56210">
      <w:pPr>
        <w:spacing w:after="0" w:line="240" w:lineRule="auto"/>
        <w:rPr>
          <w:rFonts w:ascii="Arial" w:eastAsia="Times New Roman" w:hAnsi="Arial" w:cs="Arial"/>
          <w:color w:val="000000"/>
          <w:sz w:val="22"/>
          <w:szCs w:val="22"/>
        </w:rPr>
      </w:pPr>
      <w:r w:rsidRPr="00B56210">
        <w:rPr>
          <w:rFonts w:ascii="Arial" w:eastAsia="Times New Roman" w:hAnsi="Arial" w:cs="Arial"/>
          <w:color w:val="000000"/>
          <w:sz w:val="22"/>
          <w:szCs w:val="22"/>
        </w:rPr>
        <w:t>Counties do not have authority to:</w:t>
      </w:r>
    </w:p>
    <w:p w:rsidR="00B56210" w:rsidRPr="00B56210" w:rsidRDefault="00B56210" w:rsidP="00B56210">
      <w:pPr>
        <w:spacing w:line="240" w:lineRule="auto"/>
        <w:rPr>
          <w:rFonts w:ascii="Arial" w:hAnsi="Arial" w:cs="Arial"/>
          <w:sz w:val="22"/>
          <w:szCs w:val="22"/>
        </w:rPr>
      </w:pPr>
      <w:r w:rsidRPr="00B56210">
        <w:rPr>
          <w:rFonts w:ascii="Arial" w:hAnsi="Arial" w:cs="Arial"/>
          <w:sz w:val="22"/>
          <w:szCs w:val="22"/>
        </w:rPr>
        <w:t>• Levy general sales or use taxes.</w:t>
      </w:r>
    </w:p>
    <w:p w:rsidR="00B56210" w:rsidRPr="00B56210" w:rsidRDefault="00B56210" w:rsidP="00B56210">
      <w:pPr>
        <w:spacing w:after="0" w:line="240" w:lineRule="auto"/>
        <w:rPr>
          <w:rStyle w:val="Strong"/>
          <w:rFonts w:ascii="Arial" w:hAnsi="Arial" w:cs="Arial"/>
          <w:b w:val="0"/>
          <w:sz w:val="22"/>
          <w:szCs w:val="22"/>
        </w:rPr>
      </w:pPr>
      <w:r w:rsidRPr="00B56210">
        <w:rPr>
          <w:rStyle w:val="Strong"/>
          <w:rFonts w:ascii="Arial" w:hAnsi="Arial" w:cs="Arial"/>
          <w:b w:val="0"/>
          <w:sz w:val="22"/>
          <w:szCs w:val="22"/>
        </w:rPr>
        <w:t>Mandated/Authorized Transportation Services:</w:t>
      </w:r>
    </w:p>
    <w:p w:rsidR="00B56210" w:rsidRPr="00B56210" w:rsidRDefault="00B56210" w:rsidP="00B56210">
      <w:pPr>
        <w:spacing w:after="0" w:line="240" w:lineRule="auto"/>
        <w:rPr>
          <w:rFonts w:ascii="Arial" w:eastAsia="Times New Roman" w:hAnsi="Arial" w:cs="Arial"/>
          <w:color w:val="000000"/>
          <w:sz w:val="22"/>
          <w:szCs w:val="22"/>
        </w:rPr>
      </w:pPr>
      <w:r w:rsidRPr="00B56210">
        <w:rPr>
          <w:rFonts w:ascii="Arial" w:eastAsia="Times New Roman" w:hAnsi="Arial" w:cs="Arial"/>
          <w:color w:val="000000"/>
          <w:sz w:val="22"/>
          <w:szCs w:val="22"/>
        </w:rPr>
        <w:t>• Counties may appropriate money and levy taxes for the construction, improvement, enlargement, and maintenance of county roads, bridges, alleys, or other transportation related public works projects. (For the purposes of Indiana statute, airports are considered public works.)</w:t>
      </w:r>
    </w:p>
    <w:p w:rsidR="00B56210" w:rsidRPr="00B56210" w:rsidRDefault="00B56210" w:rsidP="00B56210">
      <w:pPr>
        <w:spacing w:after="0" w:line="240" w:lineRule="auto"/>
        <w:rPr>
          <w:rFonts w:ascii="Arial" w:eastAsia="Times New Roman" w:hAnsi="Arial" w:cs="Arial"/>
          <w:color w:val="000000"/>
          <w:sz w:val="22"/>
          <w:szCs w:val="22"/>
        </w:rPr>
      </w:pPr>
    </w:p>
    <w:p w:rsidR="00B56210" w:rsidRPr="00B56210" w:rsidRDefault="00B56210" w:rsidP="00B56210">
      <w:pPr>
        <w:spacing w:after="0" w:line="240" w:lineRule="auto"/>
        <w:rPr>
          <w:rFonts w:ascii="Arial" w:eastAsia="Times New Roman" w:hAnsi="Arial" w:cs="Arial"/>
          <w:color w:val="000000"/>
          <w:sz w:val="22"/>
          <w:szCs w:val="22"/>
        </w:rPr>
      </w:pPr>
      <w:r w:rsidRPr="00B56210">
        <w:rPr>
          <w:rFonts w:ascii="Arial" w:eastAsia="Times New Roman" w:hAnsi="Arial" w:cs="Arial"/>
          <w:color w:val="000000"/>
          <w:sz w:val="22"/>
          <w:szCs w:val="22"/>
        </w:rPr>
        <w:t xml:space="preserve">• Counties may issue bonds and otherwise contract debt to complete any road or bridge building project </w:t>
      </w:r>
    </w:p>
    <w:p w:rsidR="00B56210" w:rsidRPr="00B56210" w:rsidRDefault="00B56210" w:rsidP="00B56210">
      <w:pPr>
        <w:spacing w:after="0" w:line="240" w:lineRule="auto"/>
        <w:rPr>
          <w:rFonts w:ascii="Arial" w:eastAsia="Times New Roman" w:hAnsi="Arial" w:cs="Arial"/>
          <w:color w:val="000000"/>
          <w:sz w:val="22"/>
          <w:szCs w:val="22"/>
        </w:rPr>
      </w:pPr>
    </w:p>
    <w:p w:rsidR="00B56210" w:rsidRPr="00B56210" w:rsidRDefault="00B56210" w:rsidP="00B56210">
      <w:pPr>
        <w:spacing w:after="0" w:line="240" w:lineRule="auto"/>
        <w:rPr>
          <w:rFonts w:ascii="Arial" w:eastAsia="Times New Roman" w:hAnsi="Arial" w:cs="Arial"/>
          <w:color w:val="000000"/>
          <w:sz w:val="22"/>
          <w:szCs w:val="22"/>
        </w:rPr>
      </w:pPr>
      <w:r w:rsidRPr="00B56210">
        <w:rPr>
          <w:rFonts w:ascii="Arial" w:eastAsia="Times New Roman" w:hAnsi="Arial" w:cs="Arial"/>
          <w:color w:val="000000"/>
          <w:sz w:val="22"/>
          <w:szCs w:val="22"/>
        </w:rPr>
        <w:t xml:space="preserve">• The county and a municipality may enter into an agreement regarding county and municipal roads, to last no longer than four years, in which the county agrees to provide maintenance or construction services to municipalities in exchange for a service or funds from the municipality. </w:t>
      </w:r>
    </w:p>
    <w:p w:rsidR="00B56210" w:rsidRPr="00B56210" w:rsidRDefault="00B56210" w:rsidP="00B56210">
      <w:pPr>
        <w:spacing w:after="0" w:line="240" w:lineRule="auto"/>
        <w:rPr>
          <w:rFonts w:ascii="Arial" w:eastAsia="Times New Roman" w:hAnsi="Arial" w:cs="Arial"/>
          <w:color w:val="000000"/>
          <w:sz w:val="22"/>
          <w:szCs w:val="22"/>
        </w:rPr>
      </w:pPr>
    </w:p>
    <w:p w:rsidR="00B56210" w:rsidRPr="00B56210" w:rsidRDefault="00B56210" w:rsidP="00B56210">
      <w:pPr>
        <w:spacing w:after="0" w:line="240" w:lineRule="auto"/>
        <w:rPr>
          <w:rFonts w:ascii="Arial" w:eastAsia="Times New Roman" w:hAnsi="Arial" w:cs="Arial"/>
          <w:color w:val="000000"/>
          <w:sz w:val="22"/>
          <w:szCs w:val="22"/>
        </w:rPr>
      </w:pPr>
      <w:r w:rsidRPr="00B56210">
        <w:rPr>
          <w:rFonts w:ascii="Arial" w:eastAsia="Times New Roman" w:hAnsi="Arial" w:cs="Arial"/>
          <w:color w:val="000000"/>
          <w:sz w:val="22"/>
          <w:szCs w:val="22"/>
        </w:rPr>
        <w:t xml:space="preserve">• Counties may additionally operate public transportation units, including railroad terminals, bus depots, airports, wharves, and other transportation facilities. </w:t>
      </w:r>
    </w:p>
    <w:p w:rsidR="00B56210" w:rsidRPr="00B56210" w:rsidRDefault="00B56210" w:rsidP="00B56210">
      <w:pPr>
        <w:spacing w:after="0" w:line="240" w:lineRule="auto"/>
        <w:rPr>
          <w:rFonts w:ascii="Arial" w:eastAsia="Times New Roman" w:hAnsi="Arial" w:cs="Arial"/>
          <w:color w:val="000000"/>
          <w:sz w:val="22"/>
          <w:szCs w:val="22"/>
        </w:rPr>
      </w:pPr>
    </w:p>
    <w:p w:rsidR="00B56210" w:rsidRPr="00B56210" w:rsidRDefault="00B56210" w:rsidP="00B56210">
      <w:pPr>
        <w:spacing w:after="0" w:line="240" w:lineRule="auto"/>
        <w:rPr>
          <w:rFonts w:ascii="Arial" w:eastAsia="Times New Roman" w:hAnsi="Arial" w:cs="Arial"/>
          <w:color w:val="000000"/>
          <w:sz w:val="22"/>
          <w:szCs w:val="22"/>
        </w:rPr>
      </w:pPr>
      <w:r w:rsidRPr="00B56210">
        <w:rPr>
          <w:rFonts w:ascii="Arial" w:eastAsia="Times New Roman" w:hAnsi="Arial" w:cs="Arial"/>
          <w:color w:val="000000"/>
          <w:sz w:val="22"/>
          <w:szCs w:val="22"/>
        </w:rPr>
        <w:t>• Counties may regulate public transportation with such rules as may protect public interest and safety, including the power to regulate the price of taxis.</w:t>
      </w:r>
    </w:p>
    <w:p w:rsidR="00B56210" w:rsidRPr="00B56210" w:rsidRDefault="00B56210" w:rsidP="00B56210">
      <w:pPr>
        <w:spacing w:after="0" w:line="240" w:lineRule="auto"/>
        <w:rPr>
          <w:rFonts w:ascii="Arial" w:eastAsia="Times New Roman" w:hAnsi="Arial" w:cs="Arial"/>
          <w:color w:val="000000"/>
          <w:sz w:val="22"/>
          <w:szCs w:val="22"/>
        </w:rPr>
      </w:pPr>
    </w:p>
    <w:p w:rsidR="00B56210" w:rsidRPr="00B56210" w:rsidRDefault="00B56210" w:rsidP="00B56210">
      <w:pPr>
        <w:spacing w:after="0" w:line="240" w:lineRule="auto"/>
        <w:rPr>
          <w:rFonts w:ascii="Arial" w:eastAsia="Times New Roman" w:hAnsi="Arial" w:cs="Arial"/>
          <w:color w:val="000000"/>
          <w:sz w:val="22"/>
          <w:szCs w:val="22"/>
        </w:rPr>
      </w:pPr>
      <w:r w:rsidRPr="00B56210">
        <w:rPr>
          <w:rFonts w:ascii="Arial" w:eastAsia="Times New Roman" w:hAnsi="Arial" w:cs="Arial"/>
          <w:color w:val="000000"/>
          <w:sz w:val="22"/>
          <w:szCs w:val="22"/>
        </w:rPr>
        <w:t>• Counties may establish multi-county infrastructure authorities governed by boards. The board shall create a long-term infrastructure development plan for the establishment of infrastructure, including roads, bridges, and public transportation. The authority may fund the execution of the plan by receiving money from counties, as well as issuing bonds and levying assessments on improvement areas.</w:t>
      </w:r>
    </w:p>
    <w:p w:rsidR="00B56210" w:rsidRDefault="00B56210" w:rsidP="006C5D9A">
      <w:pPr>
        <w:pStyle w:val="Heading2"/>
        <w:spacing w:line="240" w:lineRule="auto"/>
        <w:rPr>
          <w:rFonts w:ascii="HelveticaNeueLT Std" w:hAnsi="HelveticaNeueLT Std"/>
          <w:b/>
        </w:rPr>
      </w:pPr>
    </w:p>
    <w:p w:rsidR="006C5D9A" w:rsidRDefault="00145E69" w:rsidP="006C5D9A">
      <w:pPr>
        <w:pStyle w:val="Heading2"/>
        <w:spacing w:line="240" w:lineRule="auto"/>
        <w:rPr>
          <w:rFonts w:ascii="HelveticaNeueLT Std" w:hAnsi="HelveticaNeueLT Std"/>
          <w:b/>
        </w:rPr>
      </w:pPr>
      <w:r>
        <w:rPr>
          <w:rFonts w:ascii="HelveticaNeueLT Std" w:hAnsi="HelveticaNeueLT Std"/>
          <w:b/>
        </w:rPr>
        <w:lastRenderedPageBreak/>
        <w:t>Funding Sources for County Transportation Projects:</w:t>
      </w:r>
    </w:p>
    <w:p w:rsidR="00B56210" w:rsidRPr="00B56210" w:rsidRDefault="00B56210" w:rsidP="00B56210">
      <w:pPr>
        <w:spacing w:after="0" w:line="240" w:lineRule="auto"/>
        <w:rPr>
          <w:rFonts w:ascii="Arial" w:eastAsia="Times New Roman" w:hAnsi="Arial" w:cs="Arial"/>
          <w:color w:val="000000"/>
          <w:sz w:val="22"/>
          <w:szCs w:val="22"/>
        </w:rPr>
      </w:pPr>
      <w:r w:rsidRPr="00B56210">
        <w:rPr>
          <w:rFonts w:ascii="Arial" w:eastAsia="Times New Roman" w:hAnsi="Arial" w:cs="Arial"/>
          <w:color w:val="000000"/>
          <w:sz w:val="22"/>
          <w:szCs w:val="22"/>
        </w:rPr>
        <w:t>Counties Receive:</w:t>
      </w:r>
    </w:p>
    <w:p w:rsidR="00B56210" w:rsidRPr="00B56210" w:rsidRDefault="00B56210" w:rsidP="00B56210">
      <w:pPr>
        <w:spacing w:line="240" w:lineRule="auto"/>
        <w:rPr>
          <w:rFonts w:ascii="Arial" w:hAnsi="Arial" w:cs="Arial"/>
          <w:sz w:val="22"/>
          <w:szCs w:val="22"/>
        </w:rPr>
      </w:pPr>
      <w:r w:rsidRPr="00B56210">
        <w:rPr>
          <w:rFonts w:ascii="Arial" w:hAnsi="Arial" w:cs="Arial"/>
          <w:sz w:val="22"/>
          <w:szCs w:val="22"/>
        </w:rPr>
        <w:t xml:space="preserve">• A portion of the proceeds from the 22.5 percent state tax on gambling revenues. It may enter into </w:t>
      </w:r>
      <w:proofErr w:type="spellStart"/>
      <w:r w:rsidRPr="00B56210">
        <w:rPr>
          <w:rFonts w:ascii="Arial" w:hAnsi="Arial" w:cs="Arial"/>
          <w:sz w:val="22"/>
          <w:szCs w:val="22"/>
        </w:rPr>
        <w:t>interlocal</w:t>
      </w:r>
      <w:proofErr w:type="spellEnd"/>
      <w:r w:rsidRPr="00B56210">
        <w:rPr>
          <w:rFonts w:ascii="Arial" w:hAnsi="Arial" w:cs="Arial"/>
          <w:sz w:val="22"/>
          <w:szCs w:val="22"/>
        </w:rPr>
        <w:t xml:space="preserve"> agreements with cities about how to share these proceeds.</w:t>
      </w:r>
    </w:p>
    <w:p w:rsidR="00B56210" w:rsidRPr="00B56210" w:rsidRDefault="00B56210" w:rsidP="00B56210">
      <w:pPr>
        <w:spacing w:line="240" w:lineRule="auto"/>
        <w:rPr>
          <w:rFonts w:ascii="Arial" w:hAnsi="Arial" w:cs="Arial"/>
          <w:sz w:val="22"/>
          <w:szCs w:val="22"/>
        </w:rPr>
      </w:pPr>
      <w:r w:rsidRPr="00B56210">
        <w:rPr>
          <w:rFonts w:ascii="Arial" w:hAnsi="Arial" w:cs="Arial"/>
          <w:sz w:val="22"/>
          <w:szCs w:val="22"/>
        </w:rPr>
        <w:t>• A portion of the revenues from a state tax on motor fuel. The funds must be allocated for the construction and maintenance of local highways.</w:t>
      </w:r>
    </w:p>
    <w:p w:rsidR="00B56210" w:rsidRPr="00B56210" w:rsidRDefault="00B56210" w:rsidP="00B56210">
      <w:pPr>
        <w:spacing w:line="240" w:lineRule="auto"/>
        <w:rPr>
          <w:rFonts w:ascii="Arial" w:hAnsi="Arial" w:cs="Arial"/>
          <w:sz w:val="22"/>
          <w:szCs w:val="22"/>
        </w:rPr>
      </w:pPr>
      <w:r w:rsidRPr="00B56210">
        <w:rPr>
          <w:rFonts w:ascii="Arial" w:hAnsi="Arial" w:cs="Arial"/>
          <w:sz w:val="22"/>
          <w:szCs w:val="22"/>
        </w:rPr>
        <w:t>• A portion of the revenues collected from the tax that the state imposes per passenger on operators of gambling riverboats.</w:t>
      </w:r>
    </w:p>
    <w:p w:rsidR="00B56210" w:rsidRPr="00B56210" w:rsidRDefault="00B56210" w:rsidP="00B56210">
      <w:pPr>
        <w:spacing w:line="240" w:lineRule="auto"/>
        <w:rPr>
          <w:rFonts w:ascii="Arial" w:hAnsi="Arial" w:cs="Arial"/>
          <w:sz w:val="22"/>
          <w:szCs w:val="22"/>
        </w:rPr>
      </w:pPr>
      <w:r w:rsidRPr="00B56210">
        <w:rPr>
          <w:rFonts w:ascii="Arial" w:hAnsi="Arial" w:cs="Arial"/>
          <w:sz w:val="22"/>
          <w:szCs w:val="22"/>
        </w:rPr>
        <w:t>• Counties Transportation Funding, Indiana 2011</w:t>
      </w:r>
    </w:p>
    <w:tbl>
      <w:tblPr>
        <w:tblStyle w:val="TableGrid"/>
        <w:tblW w:w="0" w:type="auto"/>
        <w:tblLook w:val="04A0" w:firstRow="1" w:lastRow="0" w:firstColumn="1" w:lastColumn="0" w:noHBand="0" w:noVBand="1"/>
      </w:tblPr>
      <w:tblGrid>
        <w:gridCol w:w="2394"/>
        <w:gridCol w:w="2394"/>
        <w:gridCol w:w="2394"/>
        <w:gridCol w:w="2394"/>
      </w:tblGrid>
      <w:tr w:rsidR="00B56210" w:rsidTr="00C2361F">
        <w:tc>
          <w:tcPr>
            <w:tcW w:w="2394" w:type="dxa"/>
          </w:tcPr>
          <w:p w:rsidR="00B56210" w:rsidRDefault="00B56210" w:rsidP="00C2361F">
            <w:pPr>
              <w:rPr>
                <w:rFonts w:ascii="Arial" w:hAnsi="Arial" w:cs="Arial"/>
              </w:rPr>
            </w:pPr>
          </w:p>
        </w:tc>
        <w:tc>
          <w:tcPr>
            <w:tcW w:w="2394" w:type="dxa"/>
          </w:tcPr>
          <w:p w:rsidR="00B56210" w:rsidRPr="00253CCD" w:rsidRDefault="00B56210" w:rsidP="00C2361F">
            <w:pPr>
              <w:rPr>
                <w:rStyle w:val="Strong"/>
                <w:rFonts w:ascii="Arial" w:hAnsi="Arial" w:cs="Arial"/>
              </w:rPr>
            </w:pPr>
            <w:r w:rsidRPr="00253CCD">
              <w:rPr>
                <w:rStyle w:val="Strong"/>
                <w:rFonts w:ascii="Arial" w:hAnsi="Arial" w:cs="Arial"/>
              </w:rPr>
              <w:t>Federal</w:t>
            </w:r>
          </w:p>
        </w:tc>
        <w:tc>
          <w:tcPr>
            <w:tcW w:w="2394" w:type="dxa"/>
          </w:tcPr>
          <w:p w:rsidR="00B56210" w:rsidRPr="00253CCD" w:rsidRDefault="00B56210" w:rsidP="00C2361F">
            <w:pPr>
              <w:rPr>
                <w:rStyle w:val="Strong"/>
                <w:rFonts w:ascii="Arial" w:hAnsi="Arial" w:cs="Arial"/>
              </w:rPr>
            </w:pPr>
            <w:r w:rsidRPr="00253CCD">
              <w:rPr>
                <w:rStyle w:val="Strong"/>
                <w:rFonts w:ascii="Arial" w:hAnsi="Arial" w:cs="Arial"/>
              </w:rPr>
              <w:t>State</w:t>
            </w:r>
          </w:p>
        </w:tc>
        <w:tc>
          <w:tcPr>
            <w:tcW w:w="2394" w:type="dxa"/>
          </w:tcPr>
          <w:p w:rsidR="00B56210" w:rsidRPr="00253CCD" w:rsidRDefault="00B56210" w:rsidP="00C2361F">
            <w:pPr>
              <w:rPr>
                <w:rStyle w:val="Strong"/>
                <w:rFonts w:ascii="Arial" w:hAnsi="Arial" w:cs="Arial"/>
              </w:rPr>
            </w:pPr>
            <w:r w:rsidRPr="00253CCD">
              <w:rPr>
                <w:rStyle w:val="Strong"/>
                <w:rFonts w:ascii="Arial" w:hAnsi="Arial" w:cs="Arial"/>
              </w:rPr>
              <w:t>County Supplemental</w:t>
            </w:r>
          </w:p>
        </w:tc>
      </w:tr>
      <w:tr w:rsidR="00B56210" w:rsidTr="00C2361F">
        <w:tc>
          <w:tcPr>
            <w:tcW w:w="2394" w:type="dxa"/>
          </w:tcPr>
          <w:p w:rsidR="00B56210" w:rsidRPr="00253CCD" w:rsidRDefault="00B56210" w:rsidP="00C2361F">
            <w:pPr>
              <w:rPr>
                <w:rStyle w:val="Strong"/>
                <w:rFonts w:ascii="Arial" w:hAnsi="Arial" w:cs="Arial"/>
              </w:rPr>
            </w:pPr>
            <w:r w:rsidRPr="00253CCD">
              <w:rPr>
                <w:rStyle w:val="Strong"/>
                <w:rFonts w:ascii="Arial" w:hAnsi="Arial" w:cs="Arial"/>
              </w:rPr>
              <w:t>Shares</w:t>
            </w:r>
          </w:p>
        </w:tc>
        <w:tc>
          <w:tcPr>
            <w:tcW w:w="2394" w:type="dxa"/>
          </w:tcPr>
          <w:p w:rsidR="00B56210" w:rsidRDefault="00B56210" w:rsidP="00C2361F">
            <w:pPr>
              <w:rPr>
                <w:rFonts w:ascii="Arial" w:hAnsi="Arial" w:cs="Arial"/>
              </w:rPr>
            </w:pPr>
            <w:r>
              <w:rPr>
                <w:rFonts w:ascii="Arial" w:hAnsi="Arial" w:cs="Arial"/>
              </w:rPr>
              <w:t>2% ($14 million)</w:t>
            </w:r>
          </w:p>
        </w:tc>
        <w:tc>
          <w:tcPr>
            <w:tcW w:w="2394" w:type="dxa"/>
          </w:tcPr>
          <w:p w:rsidR="00B56210" w:rsidRDefault="00B56210" w:rsidP="00C2361F">
            <w:pPr>
              <w:rPr>
                <w:rFonts w:ascii="Arial" w:hAnsi="Arial" w:cs="Arial"/>
              </w:rPr>
            </w:pPr>
            <w:r>
              <w:rPr>
                <w:rFonts w:ascii="Arial" w:hAnsi="Arial" w:cs="Arial"/>
              </w:rPr>
              <w:t>58% ($370 million)</w:t>
            </w:r>
          </w:p>
        </w:tc>
        <w:tc>
          <w:tcPr>
            <w:tcW w:w="2394" w:type="dxa"/>
          </w:tcPr>
          <w:p w:rsidR="00B56210" w:rsidRDefault="00B56210" w:rsidP="00C2361F">
            <w:pPr>
              <w:rPr>
                <w:rFonts w:ascii="Arial" w:hAnsi="Arial" w:cs="Arial"/>
              </w:rPr>
            </w:pPr>
            <w:r>
              <w:rPr>
                <w:rFonts w:ascii="Arial" w:hAnsi="Arial" w:cs="Arial"/>
              </w:rPr>
              <w:t>40% ($260 million)</w:t>
            </w:r>
          </w:p>
        </w:tc>
      </w:tr>
    </w:tbl>
    <w:p w:rsidR="00B56210" w:rsidRDefault="00B56210" w:rsidP="00B56210">
      <w:pPr>
        <w:spacing w:after="0" w:line="240" w:lineRule="auto"/>
        <w:rPr>
          <w:rFonts w:ascii="Arial" w:eastAsia="Times New Roman" w:hAnsi="Arial" w:cs="Arial"/>
          <w:color w:val="000000"/>
        </w:rPr>
      </w:pPr>
    </w:p>
    <w:p w:rsidR="00B56210" w:rsidRDefault="00B56210" w:rsidP="00B56210">
      <w:pPr>
        <w:spacing w:after="0" w:line="240" w:lineRule="auto"/>
        <w:rPr>
          <w:rFonts w:ascii="Arial" w:eastAsia="Times New Roman" w:hAnsi="Arial" w:cs="Arial"/>
          <w:color w:val="000000"/>
        </w:rPr>
      </w:pPr>
      <w:r w:rsidRPr="000757D3">
        <w:rPr>
          <w:rFonts w:ascii="Arial" w:eastAsia="Times New Roman" w:hAnsi="Arial" w:cs="Arial"/>
          <w:color w:val="000000"/>
        </w:rPr>
        <w:t>•</w:t>
      </w:r>
      <w:r>
        <w:rPr>
          <w:rFonts w:ascii="Arial" w:eastAsia="Times New Roman" w:hAnsi="Arial" w:cs="Arial"/>
          <w:color w:val="000000"/>
        </w:rPr>
        <w:t xml:space="preserve"> </w:t>
      </w:r>
      <w:r w:rsidRPr="00B56210">
        <w:rPr>
          <w:rFonts w:ascii="Arial" w:eastAsia="Times New Roman" w:hAnsi="Arial" w:cs="Arial"/>
          <w:color w:val="000000"/>
          <w:sz w:val="22"/>
          <w:szCs w:val="22"/>
        </w:rPr>
        <w:t>County Supplemental Funding, Indiana 2011</w:t>
      </w:r>
    </w:p>
    <w:tbl>
      <w:tblPr>
        <w:tblStyle w:val="TableGrid"/>
        <w:tblW w:w="0" w:type="auto"/>
        <w:tblLook w:val="04A0" w:firstRow="1" w:lastRow="0" w:firstColumn="1" w:lastColumn="0" w:noHBand="0" w:noVBand="1"/>
      </w:tblPr>
      <w:tblGrid>
        <w:gridCol w:w="4788"/>
        <w:gridCol w:w="4788"/>
      </w:tblGrid>
      <w:tr w:rsidR="00B56210" w:rsidTr="00C2361F">
        <w:tc>
          <w:tcPr>
            <w:tcW w:w="4788" w:type="dxa"/>
          </w:tcPr>
          <w:p w:rsidR="00B56210" w:rsidRPr="00253CCD" w:rsidRDefault="00B56210" w:rsidP="00C2361F">
            <w:pPr>
              <w:rPr>
                <w:rStyle w:val="Strong"/>
                <w:rFonts w:ascii="Arial" w:hAnsi="Arial" w:cs="Arial"/>
              </w:rPr>
            </w:pPr>
            <w:r w:rsidRPr="00253CCD">
              <w:rPr>
                <w:rStyle w:val="Strong"/>
                <w:rFonts w:ascii="Arial" w:hAnsi="Arial" w:cs="Arial"/>
              </w:rPr>
              <w:t>Revenue Source</w:t>
            </w:r>
          </w:p>
        </w:tc>
        <w:tc>
          <w:tcPr>
            <w:tcW w:w="4788" w:type="dxa"/>
          </w:tcPr>
          <w:p w:rsidR="00B56210" w:rsidRPr="00253CCD" w:rsidRDefault="00B56210" w:rsidP="00C2361F">
            <w:pPr>
              <w:rPr>
                <w:rStyle w:val="Strong"/>
                <w:rFonts w:ascii="Arial" w:hAnsi="Arial" w:cs="Arial"/>
              </w:rPr>
            </w:pPr>
            <w:r w:rsidRPr="00253CCD">
              <w:rPr>
                <w:rStyle w:val="Strong"/>
                <w:rFonts w:ascii="Arial" w:hAnsi="Arial" w:cs="Arial"/>
              </w:rPr>
              <w:t>Share</w:t>
            </w:r>
          </w:p>
        </w:tc>
      </w:tr>
      <w:tr w:rsidR="00B56210" w:rsidTr="00C2361F">
        <w:tc>
          <w:tcPr>
            <w:tcW w:w="4788" w:type="dxa"/>
          </w:tcPr>
          <w:p w:rsidR="00B56210" w:rsidRDefault="00B56210" w:rsidP="00C2361F">
            <w:pPr>
              <w:rPr>
                <w:rFonts w:ascii="Arial" w:eastAsia="Times New Roman" w:hAnsi="Arial" w:cs="Arial"/>
                <w:color w:val="000000"/>
              </w:rPr>
            </w:pPr>
            <w:r>
              <w:rPr>
                <w:rFonts w:ascii="Arial" w:eastAsia="Times New Roman" w:hAnsi="Arial" w:cs="Arial"/>
                <w:color w:val="000000"/>
              </w:rPr>
              <w:t>Local Option Highway User Tax (LOHUT)</w:t>
            </w:r>
          </w:p>
        </w:tc>
        <w:tc>
          <w:tcPr>
            <w:tcW w:w="4788" w:type="dxa"/>
          </w:tcPr>
          <w:p w:rsidR="00B56210" w:rsidRDefault="00B56210" w:rsidP="00C2361F">
            <w:pPr>
              <w:rPr>
                <w:rFonts w:ascii="Arial" w:eastAsia="Times New Roman" w:hAnsi="Arial" w:cs="Arial"/>
                <w:color w:val="000000"/>
              </w:rPr>
            </w:pPr>
            <w:r>
              <w:rPr>
                <w:rFonts w:ascii="Arial" w:eastAsia="Times New Roman" w:hAnsi="Arial" w:cs="Arial"/>
                <w:color w:val="000000"/>
              </w:rPr>
              <w:t>27%</w:t>
            </w:r>
          </w:p>
        </w:tc>
      </w:tr>
      <w:tr w:rsidR="00B56210" w:rsidTr="00C2361F">
        <w:tc>
          <w:tcPr>
            <w:tcW w:w="4788" w:type="dxa"/>
          </w:tcPr>
          <w:p w:rsidR="00B56210" w:rsidRDefault="00B56210" w:rsidP="00C2361F">
            <w:pPr>
              <w:rPr>
                <w:rFonts w:ascii="Arial" w:eastAsia="Times New Roman" w:hAnsi="Arial" w:cs="Arial"/>
                <w:color w:val="000000"/>
              </w:rPr>
            </w:pPr>
            <w:r>
              <w:rPr>
                <w:rFonts w:ascii="Arial" w:eastAsia="Times New Roman" w:hAnsi="Arial" w:cs="Arial"/>
                <w:color w:val="000000"/>
              </w:rPr>
              <w:t>Refunds and Reimbursements</w:t>
            </w:r>
          </w:p>
        </w:tc>
        <w:tc>
          <w:tcPr>
            <w:tcW w:w="4788" w:type="dxa"/>
          </w:tcPr>
          <w:p w:rsidR="00B56210" w:rsidRDefault="00B56210" w:rsidP="00C2361F">
            <w:pPr>
              <w:rPr>
                <w:rFonts w:ascii="Arial" w:eastAsia="Times New Roman" w:hAnsi="Arial" w:cs="Arial"/>
                <w:color w:val="000000"/>
              </w:rPr>
            </w:pPr>
            <w:r>
              <w:rPr>
                <w:rFonts w:ascii="Arial" w:eastAsia="Times New Roman" w:hAnsi="Arial" w:cs="Arial"/>
                <w:color w:val="000000"/>
              </w:rPr>
              <w:t>26%</w:t>
            </w:r>
          </w:p>
        </w:tc>
      </w:tr>
      <w:tr w:rsidR="00B56210" w:rsidTr="00C2361F">
        <w:tc>
          <w:tcPr>
            <w:tcW w:w="4788" w:type="dxa"/>
          </w:tcPr>
          <w:p w:rsidR="00B56210" w:rsidRDefault="00B56210" w:rsidP="00C2361F">
            <w:pPr>
              <w:rPr>
                <w:rFonts w:ascii="Arial" w:eastAsia="Times New Roman" w:hAnsi="Arial" w:cs="Arial"/>
                <w:color w:val="000000"/>
              </w:rPr>
            </w:pPr>
            <w:r>
              <w:rPr>
                <w:rFonts w:ascii="Arial" w:eastAsia="Times New Roman" w:hAnsi="Arial" w:cs="Arial"/>
                <w:color w:val="000000"/>
              </w:rPr>
              <w:t>County Option Income Taxes</w:t>
            </w:r>
          </w:p>
        </w:tc>
        <w:tc>
          <w:tcPr>
            <w:tcW w:w="4788" w:type="dxa"/>
          </w:tcPr>
          <w:p w:rsidR="00B56210" w:rsidRDefault="00B56210" w:rsidP="00C2361F">
            <w:pPr>
              <w:rPr>
                <w:rFonts w:ascii="Arial" w:eastAsia="Times New Roman" w:hAnsi="Arial" w:cs="Arial"/>
                <w:color w:val="000000"/>
              </w:rPr>
            </w:pPr>
            <w:r>
              <w:rPr>
                <w:rFonts w:ascii="Arial" w:eastAsia="Times New Roman" w:hAnsi="Arial" w:cs="Arial"/>
                <w:color w:val="000000"/>
              </w:rPr>
              <w:t>12%</w:t>
            </w:r>
          </w:p>
        </w:tc>
      </w:tr>
      <w:tr w:rsidR="00B56210" w:rsidTr="00C2361F">
        <w:tc>
          <w:tcPr>
            <w:tcW w:w="4788" w:type="dxa"/>
          </w:tcPr>
          <w:p w:rsidR="00B56210" w:rsidRDefault="00B56210" w:rsidP="00C2361F">
            <w:pPr>
              <w:rPr>
                <w:rFonts w:ascii="Arial" w:eastAsia="Times New Roman" w:hAnsi="Arial" w:cs="Arial"/>
                <w:color w:val="000000"/>
              </w:rPr>
            </w:pPr>
            <w:r>
              <w:rPr>
                <w:rFonts w:ascii="Arial" w:eastAsia="Times New Roman" w:hAnsi="Arial" w:cs="Arial"/>
                <w:color w:val="000000"/>
              </w:rPr>
              <w:t>Miscellaneous</w:t>
            </w:r>
          </w:p>
        </w:tc>
        <w:tc>
          <w:tcPr>
            <w:tcW w:w="4788" w:type="dxa"/>
          </w:tcPr>
          <w:p w:rsidR="00B56210" w:rsidRDefault="00B56210" w:rsidP="00C2361F">
            <w:pPr>
              <w:rPr>
                <w:rFonts w:ascii="Arial" w:eastAsia="Times New Roman" w:hAnsi="Arial" w:cs="Arial"/>
                <w:color w:val="000000"/>
              </w:rPr>
            </w:pPr>
            <w:r>
              <w:rPr>
                <w:rFonts w:ascii="Arial" w:eastAsia="Times New Roman" w:hAnsi="Arial" w:cs="Arial"/>
                <w:color w:val="000000"/>
              </w:rPr>
              <w:t>11%</w:t>
            </w:r>
          </w:p>
        </w:tc>
      </w:tr>
      <w:tr w:rsidR="00B56210" w:rsidTr="00C2361F">
        <w:tc>
          <w:tcPr>
            <w:tcW w:w="4788" w:type="dxa"/>
          </w:tcPr>
          <w:p w:rsidR="00B56210" w:rsidRDefault="00B56210" w:rsidP="00C2361F">
            <w:pPr>
              <w:rPr>
                <w:rFonts w:ascii="Arial" w:eastAsia="Times New Roman" w:hAnsi="Arial" w:cs="Arial"/>
                <w:color w:val="000000"/>
              </w:rPr>
            </w:pPr>
            <w:r>
              <w:rPr>
                <w:rFonts w:ascii="Arial" w:eastAsia="Times New Roman" w:hAnsi="Arial" w:cs="Arial"/>
                <w:color w:val="000000"/>
              </w:rPr>
              <w:t>Gaming Fund</w:t>
            </w:r>
          </w:p>
        </w:tc>
        <w:tc>
          <w:tcPr>
            <w:tcW w:w="4788" w:type="dxa"/>
          </w:tcPr>
          <w:p w:rsidR="00B56210" w:rsidRDefault="00B56210" w:rsidP="00C2361F">
            <w:pPr>
              <w:rPr>
                <w:rFonts w:ascii="Arial" w:eastAsia="Times New Roman" w:hAnsi="Arial" w:cs="Arial"/>
                <w:color w:val="000000"/>
              </w:rPr>
            </w:pPr>
            <w:r>
              <w:rPr>
                <w:rFonts w:ascii="Arial" w:eastAsia="Times New Roman" w:hAnsi="Arial" w:cs="Arial"/>
                <w:color w:val="000000"/>
              </w:rPr>
              <w:t>5%</w:t>
            </w:r>
          </w:p>
        </w:tc>
      </w:tr>
      <w:tr w:rsidR="00B56210" w:rsidTr="00C2361F">
        <w:tc>
          <w:tcPr>
            <w:tcW w:w="4788" w:type="dxa"/>
          </w:tcPr>
          <w:p w:rsidR="00B56210" w:rsidRDefault="00B56210" w:rsidP="00C2361F">
            <w:pPr>
              <w:rPr>
                <w:rFonts w:ascii="Arial" w:eastAsia="Times New Roman" w:hAnsi="Arial" w:cs="Arial"/>
                <w:color w:val="000000"/>
              </w:rPr>
            </w:pPr>
            <w:r>
              <w:rPr>
                <w:rFonts w:ascii="Arial" w:eastAsia="Times New Roman" w:hAnsi="Arial" w:cs="Arial"/>
                <w:color w:val="000000"/>
              </w:rPr>
              <w:t>Permits and User Fees</w:t>
            </w:r>
          </w:p>
        </w:tc>
        <w:tc>
          <w:tcPr>
            <w:tcW w:w="4788" w:type="dxa"/>
          </w:tcPr>
          <w:p w:rsidR="00B56210" w:rsidRDefault="00B56210" w:rsidP="00C2361F">
            <w:pPr>
              <w:rPr>
                <w:rFonts w:ascii="Arial" w:eastAsia="Times New Roman" w:hAnsi="Arial" w:cs="Arial"/>
                <w:color w:val="000000"/>
              </w:rPr>
            </w:pPr>
            <w:r>
              <w:rPr>
                <w:rFonts w:ascii="Arial" w:eastAsia="Times New Roman" w:hAnsi="Arial" w:cs="Arial"/>
                <w:color w:val="000000"/>
              </w:rPr>
              <w:t>&lt;1%</w:t>
            </w:r>
          </w:p>
        </w:tc>
      </w:tr>
    </w:tbl>
    <w:p w:rsidR="006C5D9A" w:rsidRDefault="00145E69" w:rsidP="00242859">
      <w:pPr>
        <w:pStyle w:val="Heading2"/>
        <w:spacing w:line="240" w:lineRule="auto"/>
        <w:rPr>
          <w:rFonts w:ascii="HelveticaNeueLT Std" w:hAnsi="HelveticaNeueLT Std"/>
          <w:b/>
        </w:rPr>
      </w:pPr>
      <w:r>
        <w:rPr>
          <w:rFonts w:ascii="HelveticaNeueLT Std" w:hAnsi="HelveticaNeueLT Std"/>
          <w:b/>
        </w:rPr>
        <w:t>Challenges in Funding and Financing Transportation Projects:</w:t>
      </w:r>
    </w:p>
    <w:p w:rsidR="00B56210" w:rsidRPr="00B56210" w:rsidRDefault="00B56210" w:rsidP="00B56210">
      <w:pPr>
        <w:spacing w:after="0" w:line="240" w:lineRule="auto"/>
        <w:rPr>
          <w:rFonts w:ascii="Arial" w:eastAsia="Times New Roman" w:hAnsi="Arial" w:cs="Arial"/>
          <w:color w:val="000000"/>
          <w:sz w:val="22"/>
          <w:szCs w:val="22"/>
        </w:rPr>
      </w:pPr>
      <w:r w:rsidRPr="00B56210">
        <w:rPr>
          <w:rFonts w:ascii="Arial" w:eastAsia="Times New Roman" w:hAnsi="Arial" w:cs="Arial"/>
          <w:color w:val="000000"/>
          <w:sz w:val="22"/>
          <w:szCs w:val="22"/>
        </w:rPr>
        <w:t xml:space="preserve">• There is an $800 million per year funding need, according to AIC President Penny </w:t>
      </w:r>
      <w:proofErr w:type="spellStart"/>
      <w:r w:rsidRPr="00B56210">
        <w:rPr>
          <w:rFonts w:ascii="Arial" w:eastAsia="Times New Roman" w:hAnsi="Arial" w:cs="Arial"/>
          <w:color w:val="000000"/>
          <w:sz w:val="22"/>
          <w:szCs w:val="22"/>
        </w:rPr>
        <w:t>Lukenbill</w:t>
      </w:r>
      <w:proofErr w:type="spellEnd"/>
      <w:r w:rsidRPr="00B56210">
        <w:rPr>
          <w:rFonts w:ascii="Arial" w:eastAsia="Times New Roman" w:hAnsi="Arial" w:cs="Arial"/>
          <w:color w:val="000000"/>
          <w:sz w:val="22"/>
          <w:szCs w:val="22"/>
        </w:rPr>
        <w:t>. Many roads have fallen to severe disrepair, and counties have had to return some roads to gravel.</w:t>
      </w:r>
    </w:p>
    <w:p w:rsidR="006C5D9A" w:rsidRDefault="00145E69" w:rsidP="006C5D9A">
      <w:pPr>
        <w:pStyle w:val="Heading2"/>
        <w:spacing w:line="240" w:lineRule="auto"/>
        <w:rPr>
          <w:rFonts w:ascii="HelveticaNeueLT Std" w:hAnsi="HelveticaNeueLT Std"/>
          <w:b/>
        </w:rPr>
      </w:pPr>
      <w:r>
        <w:rPr>
          <w:rFonts w:ascii="HelveticaNeueLT Std" w:hAnsi="HelveticaNeueLT Std"/>
          <w:b/>
        </w:rPr>
        <w:t>Innovative Solutions to Funding and Financing Challenges</w:t>
      </w:r>
      <w:r w:rsidR="00B56210">
        <w:rPr>
          <w:rFonts w:ascii="HelveticaNeueLT Std" w:hAnsi="HelveticaNeueLT Std"/>
          <w:b/>
        </w:rPr>
        <w:t>:</w:t>
      </w:r>
    </w:p>
    <w:p w:rsidR="00B56210" w:rsidRPr="00B56210" w:rsidRDefault="00B56210" w:rsidP="00B56210">
      <w:pPr>
        <w:spacing w:after="0" w:line="240" w:lineRule="auto"/>
        <w:rPr>
          <w:rFonts w:ascii="Arial" w:eastAsia="Times New Roman" w:hAnsi="Arial" w:cs="Arial"/>
          <w:color w:val="000000"/>
          <w:sz w:val="22"/>
          <w:szCs w:val="22"/>
        </w:rPr>
      </w:pPr>
      <w:r w:rsidRPr="00B56210">
        <w:rPr>
          <w:rFonts w:ascii="Arial" w:eastAsia="Times New Roman" w:hAnsi="Arial" w:cs="Arial"/>
          <w:color w:val="000000"/>
          <w:sz w:val="22"/>
          <w:szCs w:val="22"/>
        </w:rPr>
        <w:t>• HB 1001 passed in February 2013, redirects all gas taxes to roads. (Current law allows gas taxes to be used to fund a variety of state agencies including Indiana State Police, the Bureau of Motor Vehicles, and the Department of Revenue.) The new formula also redirects 1.5 percent of sales tax money to roads.</w:t>
      </w:r>
    </w:p>
    <w:p w:rsidR="00B56210" w:rsidRPr="00B56210" w:rsidRDefault="00B56210" w:rsidP="00B56210">
      <w:pPr>
        <w:spacing w:after="0" w:line="240" w:lineRule="auto"/>
        <w:rPr>
          <w:rFonts w:ascii="Arial" w:eastAsia="Times New Roman" w:hAnsi="Arial" w:cs="Arial"/>
          <w:color w:val="000000"/>
          <w:sz w:val="22"/>
          <w:szCs w:val="22"/>
        </w:rPr>
      </w:pPr>
    </w:p>
    <w:p w:rsidR="00B56210" w:rsidRPr="00B56210" w:rsidRDefault="00B56210" w:rsidP="00B56210">
      <w:pPr>
        <w:spacing w:after="0" w:line="240" w:lineRule="auto"/>
        <w:rPr>
          <w:rFonts w:ascii="Arial" w:eastAsia="Times New Roman" w:hAnsi="Arial" w:cs="Arial"/>
          <w:color w:val="000000"/>
          <w:sz w:val="22"/>
          <w:szCs w:val="22"/>
        </w:rPr>
      </w:pPr>
      <w:r w:rsidRPr="00B56210">
        <w:rPr>
          <w:rFonts w:ascii="Arial" w:eastAsia="Times New Roman" w:hAnsi="Arial" w:cs="Arial"/>
          <w:color w:val="000000"/>
          <w:sz w:val="22"/>
          <w:szCs w:val="22"/>
        </w:rPr>
        <w:t>• The Indiana House version of the budget increases road funding overall across the state by $250 million each year of the biennium. Counties would receive $68.15 million, each of the next two years.</w:t>
      </w:r>
    </w:p>
    <w:p w:rsidR="00B56210" w:rsidRPr="00B56210" w:rsidRDefault="00B56210" w:rsidP="00B56210">
      <w:pPr>
        <w:spacing w:after="0" w:line="240" w:lineRule="auto"/>
        <w:rPr>
          <w:rFonts w:ascii="Arial" w:eastAsia="Times New Roman" w:hAnsi="Arial" w:cs="Arial"/>
          <w:color w:val="000000"/>
          <w:sz w:val="22"/>
          <w:szCs w:val="22"/>
        </w:rPr>
      </w:pPr>
    </w:p>
    <w:p w:rsidR="00B56210" w:rsidRPr="00B56210" w:rsidRDefault="00B56210" w:rsidP="00B56210">
      <w:pPr>
        <w:spacing w:after="0" w:line="240" w:lineRule="auto"/>
        <w:rPr>
          <w:rFonts w:ascii="Arial" w:eastAsia="Times New Roman" w:hAnsi="Arial" w:cs="Arial"/>
          <w:color w:val="000000"/>
          <w:sz w:val="22"/>
          <w:szCs w:val="22"/>
        </w:rPr>
      </w:pPr>
      <w:r w:rsidRPr="00B56210">
        <w:rPr>
          <w:rFonts w:ascii="Arial" w:eastAsia="Times New Roman" w:hAnsi="Arial" w:cs="Arial"/>
          <w:color w:val="000000"/>
          <w:sz w:val="22"/>
          <w:szCs w:val="22"/>
        </w:rPr>
        <w:t>• The bill changes the distribution of Sales and Use Taxes, but will not affect the total amount collected. It reduces the amount deposited in the state General Fund and deposits a portion of Sales and Use Tax revenue in the Motor Vehicle Highway Account (MVHA).  The bill removes the requirement that the MVH pay one-half of the amount appropriated to the State Police Department for its operations. Shifting the responsibility for payment of net State Police expenses from the MVH to other funds would result in approximately $80 million - $90 million in additional MVH funding available for distribution to INDOT, counties, and cities and towns each year, depending upon the level of State Police appropriations for the biennium.</w:t>
      </w:r>
    </w:p>
    <w:p w:rsidR="00B56210" w:rsidRPr="00B56210" w:rsidRDefault="00B56210" w:rsidP="00B56210">
      <w:pPr>
        <w:rPr>
          <w:sz w:val="22"/>
          <w:szCs w:val="22"/>
        </w:rPr>
      </w:pPr>
    </w:p>
    <w:p w:rsidR="00EF1104" w:rsidRPr="00EF1104" w:rsidRDefault="00EF1104" w:rsidP="00EF1104">
      <w:bookmarkStart w:id="0" w:name="_GoBack"/>
      <w:bookmarkEnd w:id="0"/>
    </w:p>
    <w:sectPr w:rsidR="00EF1104" w:rsidRPr="00EF1104" w:rsidSect="00642BFA">
      <w:headerReference w:type="default" r:id="rId9"/>
      <w:footerReference w:type="default" r:id="rId10"/>
      <w:pgSz w:w="12240" w:h="15840"/>
      <w:pgMar w:top="720" w:right="720" w:bottom="720" w:left="720" w:header="432"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24B29" w:rsidRDefault="00D24B29" w:rsidP="006C5D9A">
      <w:pPr>
        <w:spacing w:after="0" w:line="240" w:lineRule="auto"/>
      </w:pPr>
      <w:r>
        <w:separator/>
      </w:r>
    </w:p>
  </w:endnote>
  <w:endnote w:type="continuationSeparator" w:id="0">
    <w:p w:rsidR="00D24B29" w:rsidRDefault="00D24B29" w:rsidP="006C5D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NeueLT Std">
    <w:panose1 w:val="00000000000000000000"/>
    <w:charset w:val="00"/>
    <w:family w:val="swiss"/>
    <w:notTrueType/>
    <w:pitch w:val="variable"/>
    <w:sig w:usb0="800000AF" w:usb1="4000204A"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C5D9A" w:rsidRPr="00DD4ABB" w:rsidRDefault="006C5D9A" w:rsidP="006C5D9A">
    <w:pPr>
      <w:tabs>
        <w:tab w:val="center" w:pos="5400"/>
        <w:tab w:val="right" w:pos="10800"/>
      </w:tabs>
      <w:spacing w:before="120"/>
      <w:jc w:val="center"/>
      <w:rPr>
        <w:rFonts w:ascii="Calibri" w:hAnsi="Calibri"/>
        <w:color w:val="17365D" w:themeColor="text2" w:themeShade="BF"/>
        <w:sz w:val="18"/>
        <w:szCs w:val="18"/>
      </w:rPr>
    </w:pPr>
    <w:r w:rsidRPr="00DD4ABB">
      <w:rPr>
        <w:rFonts w:ascii="Calibri" w:hAnsi="Calibri"/>
        <w:color w:val="17365D" w:themeColor="text2" w:themeShade="BF"/>
        <w:sz w:val="18"/>
        <w:szCs w:val="18"/>
      </w:rPr>
      <w:t>25 MASSACHUSETTS AVENUE, NW SUITE 500</w:t>
    </w:r>
    <w:r w:rsidRPr="00DD4ABB">
      <w:rPr>
        <w:rFonts w:ascii="Calibri" w:hAnsi="Calibri"/>
        <w:color w:val="943634" w:themeColor="accent2" w:themeShade="BF"/>
        <w:sz w:val="18"/>
        <w:szCs w:val="18"/>
      </w:rPr>
      <w:t xml:space="preserve"> |</w:t>
    </w:r>
    <w:r w:rsidRPr="00DD4ABB">
      <w:rPr>
        <w:rFonts w:ascii="Calibri" w:hAnsi="Calibri"/>
        <w:color w:val="17365D" w:themeColor="text2" w:themeShade="BF"/>
        <w:sz w:val="18"/>
        <w:szCs w:val="18"/>
      </w:rPr>
      <w:t xml:space="preserve"> WASHINGTON, DC 20001</w:t>
    </w:r>
    <w:r w:rsidRPr="00DD4ABB">
      <w:rPr>
        <w:rFonts w:ascii="Calibri" w:hAnsi="Calibri"/>
        <w:color w:val="943634" w:themeColor="accent2" w:themeShade="BF"/>
        <w:sz w:val="18"/>
        <w:szCs w:val="18"/>
      </w:rPr>
      <w:t xml:space="preserve"> |</w:t>
    </w:r>
    <w:r w:rsidRPr="00DD4ABB">
      <w:rPr>
        <w:rFonts w:ascii="Calibri" w:hAnsi="Calibri"/>
        <w:color w:val="17365D" w:themeColor="text2" w:themeShade="BF"/>
        <w:sz w:val="18"/>
        <w:szCs w:val="18"/>
      </w:rPr>
      <w:t xml:space="preserve"> 202.393.6226</w:t>
    </w:r>
    <w:r w:rsidRPr="00DD4ABB">
      <w:rPr>
        <w:rFonts w:ascii="Calibri" w:hAnsi="Calibri"/>
        <w:color w:val="943634" w:themeColor="accent2" w:themeShade="BF"/>
        <w:sz w:val="18"/>
        <w:szCs w:val="18"/>
      </w:rPr>
      <w:t xml:space="preserve"> |</w:t>
    </w:r>
    <w:r w:rsidRPr="00DD4ABB">
      <w:rPr>
        <w:rFonts w:ascii="Calibri" w:hAnsi="Calibri"/>
        <w:color w:val="17365D" w:themeColor="text2" w:themeShade="BF"/>
        <w:sz w:val="18"/>
        <w:szCs w:val="18"/>
      </w:rPr>
      <w:t xml:space="preserve"> FAX 202.393.2630</w:t>
    </w:r>
    <w:r w:rsidRPr="00DD4ABB">
      <w:rPr>
        <w:rFonts w:ascii="Calibri" w:hAnsi="Calibri"/>
        <w:color w:val="943634" w:themeColor="accent2" w:themeShade="BF"/>
        <w:sz w:val="18"/>
        <w:szCs w:val="18"/>
      </w:rPr>
      <w:t xml:space="preserve"> |</w:t>
    </w:r>
    <w:r w:rsidRPr="00DD4ABB">
      <w:rPr>
        <w:rFonts w:ascii="Calibri" w:hAnsi="Calibri"/>
        <w:color w:val="17365D" w:themeColor="text2" w:themeShade="BF"/>
        <w:sz w:val="18"/>
        <w:szCs w:val="18"/>
      </w:rPr>
      <w:t xml:space="preserve"> WWW.NACO.ORG</w:t>
    </w:r>
  </w:p>
  <w:p w:rsidR="006C5D9A" w:rsidRPr="006C5D9A" w:rsidRDefault="006C5D9A" w:rsidP="006C5D9A">
    <w:pPr>
      <w:spacing w:before="120"/>
      <w:jc w:val="center"/>
      <w:rPr>
        <w:rFonts w:ascii="Calibri" w:hAnsi="Calibri"/>
        <w:color w:val="17365D" w:themeColor="text2" w:themeShade="BF"/>
        <w:sz w:val="18"/>
        <w:szCs w:val="18"/>
      </w:rPr>
    </w:pPr>
    <w:r w:rsidRPr="00FD3F76">
      <w:rPr>
        <w:rFonts w:ascii="Calibri" w:hAnsi="Calibri"/>
        <w:noProof/>
        <w:color w:val="17365D" w:themeColor="text2" w:themeShade="BF"/>
        <w:sz w:val="18"/>
        <w:szCs w:val="18"/>
      </w:rPr>
      <w:drawing>
        <wp:anchor distT="0" distB="0" distL="114300" distR="114300" simplePos="0" relativeHeight="251659264" behindDoc="0" locked="0" layoutInCell="1" allowOverlap="1" wp14:anchorId="7643119F" wp14:editId="06080307">
          <wp:simplePos x="0" y="0"/>
          <wp:positionH relativeFrom="column">
            <wp:posOffset>280035</wp:posOffset>
          </wp:positionH>
          <wp:positionV relativeFrom="paragraph">
            <wp:posOffset>51435</wp:posOffset>
          </wp:positionV>
          <wp:extent cx="909320" cy="214630"/>
          <wp:effectExtent l="0" t="0" r="0" b="0"/>
          <wp:wrapTight wrapText="bothSides">
            <wp:wrapPolygon edited="0">
              <wp:start x="0" y="0"/>
              <wp:lineTo x="0" y="17893"/>
              <wp:lineTo x="21117" y="17893"/>
              <wp:lineTo x="21117"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rd-Socialmediastrip.jpg"/>
                  <pic:cNvPicPr/>
                </pic:nvPicPr>
                <pic:blipFill>
                  <a:blip r:embed="rId1">
                    <a:extLst>
                      <a:ext uri="{28A0092B-C50C-407E-A947-70E740481C1C}">
                        <a14:useLocalDpi xmlns:a14="http://schemas.microsoft.com/office/drawing/2010/main" val="0"/>
                      </a:ext>
                    </a:extLst>
                  </a:blip>
                  <a:stretch>
                    <a:fillRect/>
                  </a:stretch>
                </pic:blipFill>
                <pic:spPr>
                  <a:xfrm>
                    <a:off x="0" y="0"/>
                    <a:ext cx="909320" cy="214630"/>
                  </a:xfrm>
                  <a:prstGeom prst="rect">
                    <a:avLst/>
                  </a:prstGeom>
                </pic:spPr>
              </pic:pic>
            </a:graphicData>
          </a:graphic>
          <wp14:sizeRelH relativeFrom="page">
            <wp14:pctWidth>0</wp14:pctWidth>
          </wp14:sizeRelH>
          <wp14:sizeRelV relativeFrom="page">
            <wp14:pctHeight>0</wp14:pctHeight>
          </wp14:sizeRelV>
        </wp:anchor>
      </w:drawing>
    </w:r>
    <w:r>
      <w:rPr>
        <w:rFonts w:ascii="Calibri" w:hAnsi="Calibri"/>
        <w:color w:val="17365D" w:themeColor="text2" w:themeShade="BF"/>
        <w:sz w:val="18"/>
        <w:szCs w:val="18"/>
      </w:rPr>
      <w:t xml:space="preserve">                                     </w:t>
    </w:r>
    <w:r w:rsidRPr="00DD4ABB">
      <w:rPr>
        <w:rFonts w:ascii="Calibri" w:hAnsi="Calibri"/>
        <w:color w:val="17365D" w:themeColor="text2" w:themeShade="BF"/>
        <w:sz w:val="18"/>
        <w:szCs w:val="18"/>
      </w:rPr>
      <w:t>FB.COM/</w:t>
    </w:r>
    <w:r>
      <w:rPr>
        <w:rFonts w:ascii="Calibri" w:hAnsi="Calibri"/>
        <w:color w:val="17365D" w:themeColor="text2" w:themeShade="BF"/>
        <w:sz w:val="18"/>
        <w:szCs w:val="18"/>
      </w:rPr>
      <w:t xml:space="preserve"> </w:t>
    </w:r>
    <w:r w:rsidRPr="00DD4ABB">
      <w:rPr>
        <w:rFonts w:ascii="Calibri" w:hAnsi="Calibri"/>
        <w:color w:val="17365D" w:themeColor="text2" w:themeShade="BF"/>
        <w:sz w:val="18"/>
        <w:szCs w:val="18"/>
      </w:rPr>
      <w:t>NACODC</w:t>
    </w:r>
    <w:r w:rsidRPr="00DD4ABB">
      <w:rPr>
        <w:rFonts w:ascii="Calibri" w:hAnsi="Calibri"/>
        <w:color w:val="943634" w:themeColor="accent2" w:themeShade="BF"/>
        <w:sz w:val="18"/>
        <w:szCs w:val="18"/>
      </w:rPr>
      <w:t xml:space="preserve"> |</w:t>
    </w:r>
    <w:r w:rsidRPr="00DD4ABB">
      <w:rPr>
        <w:rFonts w:ascii="Calibri" w:hAnsi="Calibri"/>
        <w:color w:val="17365D" w:themeColor="text2" w:themeShade="BF"/>
        <w:sz w:val="18"/>
        <w:szCs w:val="18"/>
      </w:rPr>
      <w:t xml:space="preserve"> TWITTER.COM/NACOTWEETS</w:t>
    </w:r>
    <w:r w:rsidRPr="00DD4ABB">
      <w:rPr>
        <w:rFonts w:ascii="Calibri" w:hAnsi="Calibri"/>
        <w:color w:val="943634" w:themeColor="accent2" w:themeShade="BF"/>
        <w:sz w:val="18"/>
        <w:szCs w:val="18"/>
      </w:rPr>
      <w:t xml:space="preserve"> |</w:t>
    </w:r>
    <w:r w:rsidRPr="00DD4ABB">
      <w:rPr>
        <w:rFonts w:ascii="Calibri" w:hAnsi="Calibri"/>
        <w:color w:val="17365D" w:themeColor="text2" w:themeShade="BF"/>
        <w:sz w:val="18"/>
        <w:szCs w:val="18"/>
      </w:rPr>
      <w:t xml:space="preserve"> YOUTUBE.COM/NACOVIDEO</w:t>
    </w:r>
    <w:r w:rsidRPr="00DD4ABB">
      <w:rPr>
        <w:rFonts w:ascii="Calibri" w:hAnsi="Calibri"/>
        <w:color w:val="943634" w:themeColor="accent2" w:themeShade="BF"/>
        <w:sz w:val="18"/>
        <w:szCs w:val="18"/>
      </w:rPr>
      <w:t xml:space="preserve"> |</w:t>
    </w:r>
    <w:r w:rsidRPr="00DD4ABB">
      <w:rPr>
        <w:rFonts w:ascii="Calibri" w:hAnsi="Calibri"/>
        <w:color w:val="17365D" w:themeColor="text2" w:themeShade="BF"/>
        <w:sz w:val="18"/>
        <w:szCs w:val="18"/>
      </w:rPr>
      <w:t xml:space="preserve"> LINKEDIN.COM/IN/NACODC</w:t>
    </w:r>
  </w:p>
  <w:p w:rsidR="006C5D9A" w:rsidRDefault="006C5D9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24B29" w:rsidRDefault="00D24B29" w:rsidP="006C5D9A">
      <w:pPr>
        <w:spacing w:after="0" w:line="240" w:lineRule="auto"/>
      </w:pPr>
      <w:r>
        <w:separator/>
      </w:r>
    </w:p>
  </w:footnote>
  <w:footnote w:type="continuationSeparator" w:id="0">
    <w:p w:rsidR="00D24B29" w:rsidRDefault="00D24B29" w:rsidP="006C5D9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C5D9A" w:rsidRDefault="006C5D9A" w:rsidP="006C5D9A">
    <w:pPr>
      <w:pStyle w:val="Header"/>
    </w:pPr>
    <w:r>
      <w:rPr>
        <w:noProof/>
      </w:rPr>
      <w:drawing>
        <wp:inline distT="0" distB="0" distL="0" distR="0" wp14:anchorId="1516178B" wp14:editId="0B91DFCA">
          <wp:extent cx="2286000" cy="664234"/>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ACoLogo-Highres.jpg"/>
                  <pic:cNvPicPr/>
                </pic:nvPicPr>
                <pic:blipFill>
                  <a:blip r:embed="rId1">
                    <a:extLst>
                      <a:ext uri="{28A0092B-C50C-407E-A947-70E740481C1C}">
                        <a14:useLocalDpi xmlns:a14="http://schemas.microsoft.com/office/drawing/2010/main" val="0"/>
                      </a:ext>
                    </a:extLst>
                  </a:blip>
                  <a:stretch>
                    <a:fillRect/>
                  </a:stretch>
                </pic:blipFill>
                <pic:spPr>
                  <a:xfrm>
                    <a:off x="0" y="0"/>
                    <a:ext cx="2289437" cy="665233"/>
                  </a:xfrm>
                  <a:prstGeom prst="rect">
                    <a:avLst/>
                  </a:prstGeom>
                </pic:spPr>
              </pic:pic>
            </a:graphicData>
          </a:graphic>
        </wp:inline>
      </w:drawing>
    </w:r>
  </w:p>
  <w:p w:rsidR="006C5D9A" w:rsidRDefault="006C5D9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6568E5"/>
    <w:multiLevelType w:val="hybridMultilevel"/>
    <w:tmpl w:val="F0CEB0D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30C661DE"/>
    <w:multiLevelType w:val="hybridMultilevel"/>
    <w:tmpl w:val="A02AEC08"/>
    <w:lvl w:ilvl="0" w:tplc="A8369E7A">
      <w:start w:val="1"/>
      <w:numFmt w:val="bullet"/>
      <w:lvlText w:val=""/>
      <w:lvlJc w:val="left"/>
      <w:pPr>
        <w:ind w:left="720" w:hanging="360"/>
      </w:pPr>
      <w:rPr>
        <w:rFonts w:ascii="Symbol" w:hAnsi="Symbol" w:hint="default"/>
        <w:color w:val="auto"/>
        <w:sz w:val="1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5D9A"/>
    <w:rsid w:val="000907C0"/>
    <w:rsid w:val="00145E69"/>
    <w:rsid w:val="00161A40"/>
    <w:rsid w:val="001813D1"/>
    <w:rsid w:val="00242859"/>
    <w:rsid w:val="0047665C"/>
    <w:rsid w:val="00616222"/>
    <w:rsid w:val="00642BFA"/>
    <w:rsid w:val="006C5D9A"/>
    <w:rsid w:val="00720D69"/>
    <w:rsid w:val="00817AAC"/>
    <w:rsid w:val="00832552"/>
    <w:rsid w:val="00965E13"/>
    <w:rsid w:val="00A34C11"/>
    <w:rsid w:val="00A65B64"/>
    <w:rsid w:val="00B56210"/>
    <w:rsid w:val="00BA311F"/>
    <w:rsid w:val="00C375C3"/>
    <w:rsid w:val="00C602DA"/>
    <w:rsid w:val="00D24B29"/>
    <w:rsid w:val="00E35BDC"/>
    <w:rsid w:val="00E7798C"/>
    <w:rsid w:val="00EF11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5D9A"/>
    <w:pPr>
      <w:jc w:val="both"/>
    </w:pPr>
    <w:rPr>
      <w:rFonts w:eastAsiaTheme="minorEastAsia"/>
      <w:sz w:val="20"/>
      <w:szCs w:val="20"/>
    </w:rPr>
  </w:style>
  <w:style w:type="paragraph" w:styleId="Heading1">
    <w:name w:val="heading 1"/>
    <w:basedOn w:val="Normal"/>
    <w:next w:val="Normal"/>
    <w:link w:val="Heading1Char"/>
    <w:uiPriority w:val="9"/>
    <w:qFormat/>
    <w:rsid w:val="006C5D9A"/>
    <w:p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6C5D9A"/>
    <w:pPr>
      <w:spacing w:before="240" w:after="80"/>
      <w:jc w:val="left"/>
      <w:outlineLvl w:val="1"/>
    </w:pPr>
    <w:rPr>
      <w:smallCaps/>
      <w:spacing w:val="5"/>
      <w:sz w:val="28"/>
      <w:szCs w:val="28"/>
    </w:rPr>
  </w:style>
  <w:style w:type="paragraph" w:styleId="Heading3">
    <w:name w:val="heading 3"/>
    <w:basedOn w:val="Normal"/>
    <w:next w:val="Normal"/>
    <w:link w:val="Heading3Char"/>
    <w:uiPriority w:val="9"/>
    <w:semiHidden/>
    <w:unhideWhenUsed/>
    <w:qFormat/>
    <w:rsid w:val="006C5D9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C5D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5D9A"/>
  </w:style>
  <w:style w:type="paragraph" w:styleId="Footer">
    <w:name w:val="footer"/>
    <w:basedOn w:val="Normal"/>
    <w:link w:val="FooterChar"/>
    <w:uiPriority w:val="99"/>
    <w:unhideWhenUsed/>
    <w:rsid w:val="006C5D9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5D9A"/>
  </w:style>
  <w:style w:type="paragraph" w:styleId="BalloonText">
    <w:name w:val="Balloon Text"/>
    <w:basedOn w:val="Normal"/>
    <w:link w:val="BalloonTextChar"/>
    <w:uiPriority w:val="99"/>
    <w:semiHidden/>
    <w:unhideWhenUsed/>
    <w:rsid w:val="006C5D9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5D9A"/>
    <w:rPr>
      <w:rFonts w:ascii="Tahoma" w:hAnsi="Tahoma" w:cs="Tahoma"/>
      <w:sz w:val="16"/>
      <w:szCs w:val="16"/>
    </w:rPr>
  </w:style>
  <w:style w:type="character" w:customStyle="1" w:styleId="Heading1Char">
    <w:name w:val="Heading 1 Char"/>
    <w:basedOn w:val="DefaultParagraphFont"/>
    <w:link w:val="Heading1"/>
    <w:uiPriority w:val="9"/>
    <w:rsid w:val="006C5D9A"/>
    <w:rPr>
      <w:rFonts w:eastAsiaTheme="minorEastAsia"/>
      <w:smallCaps/>
      <w:spacing w:val="5"/>
      <w:sz w:val="32"/>
      <w:szCs w:val="32"/>
    </w:rPr>
  </w:style>
  <w:style w:type="character" w:customStyle="1" w:styleId="Heading2Char">
    <w:name w:val="Heading 2 Char"/>
    <w:basedOn w:val="DefaultParagraphFont"/>
    <w:link w:val="Heading2"/>
    <w:uiPriority w:val="9"/>
    <w:rsid w:val="006C5D9A"/>
    <w:rPr>
      <w:rFonts w:eastAsiaTheme="minorEastAsia"/>
      <w:smallCaps/>
      <w:spacing w:val="5"/>
      <w:sz w:val="28"/>
      <w:szCs w:val="28"/>
    </w:rPr>
  </w:style>
  <w:style w:type="paragraph" w:styleId="ListParagraph">
    <w:name w:val="List Paragraph"/>
    <w:basedOn w:val="Normal"/>
    <w:uiPriority w:val="34"/>
    <w:qFormat/>
    <w:rsid w:val="006C5D9A"/>
    <w:pPr>
      <w:ind w:left="720"/>
      <w:contextualSpacing/>
    </w:pPr>
  </w:style>
  <w:style w:type="paragraph" w:styleId="Title">
    <w:name w:val="Title"/>
    <w:basedOn w:val="Normal"/>
    <w:next w:val="Normal"/>
    <w:link w:val="TitleChar"/>
    <w:uiPriority w:val="10"/>
    <w:qFormat/>
    <w:rsid w:val="006C5D9A"/>
    <w:pPr>
      <w:pBdr>
        <w:top w:val="single" w:sz="12" w:space="1" w:color="C0504D"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6C5D9A"/>
    <w:rPr>
      <w:rFonts w:eastAsiaTheme="minorEastAsia"/>
      <w:smallCaps/>
      <w:sz w:val="48"/>
      <w:szCs w:val="48"/>
    </w:rPr>
  </w:style>
  <w:style w:type="character" w:customStyle="1" w:styleId="Heading3Char">
    <w:name w:val="Heading 3 Char"/>
    <w:basedOn w:val="DefaultParagraphFont"/>
    <w:link w:val="Heading3"/>
    <w:uiPriority w:val="9"/>
    <w:semiHidden/>
    <w:rsid w:val="006C5D9A"/>
    <w:rPr>
      <w:rFonts w:asciiTheme="majorHAnsi" w:eastAsiaTheme="majorEastAsia" w:hAnsiTheme="majorHAnsi" w:cstheme="majorBidi"/>
      <w:b/>
      <w:bCs/>
      <w:color w:val="4F81BD" w:themeColor="accent1"/>
      <w:sz w:val="20"/>
      <w:szCs w:val="20"/>
    </w:rPr>
  </w:style>
  <w:style w:type="character" w:styleId="Hyperlink">
    <w:name w:val="Hyperlink"/>
    <w:basedOn w:val="DefaultParagraphFont"/>
    <w:uiPriority w:val="99"/>
    <w:unhideWhenUsed/>
    <w:rsid w:val="006C5D9A"/>
    <w:rPr>
      <w:color w:val="0000FF" w:themeColor="hyperlink"/>
      <w:u w:val="single"/>
    </w:rPr>
  </w:style>
  <w:style w:type="character" w:styleId="Strong">
    <w:name w:val="Strong"/>
    <w:basedOn w:val="DefaultParagraphFont"/>
    <w:uiPriority w:val="22"/>
    <w:qFormat/>
    <w:rsid w:val="00B56210"/>
    <w:rPr>
      <w:b/>
      <w:bCs/>
    </w:rPr>
  </w:style>
  <w:style w:type="table" w:styleId="TableGrid">
    <w:name w:val="Table Grid"/>
    <w:basedOn w:val="TableNormal"/>
    <w:uiPriority w:val="59"/>
    <w:rsid w:val="00B5621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5D9A"/>
    <w:pPr>
      <w:jc w:val="both"/>
    </w:pPr>
    <w:rPr>
      <w:rFonts w:eastAsiaTheme="minorEastAsia"/>
      <w:sz w:val="20"/>
      <w:szCs w:val="20"/>
    </w:rPr>
  </w:style>
  <w:style w:type="paragraph" w:styleId="Heading1">
    <w:name w:val="heading 1"/>
    <w:basedOn w:val="Normal"/>
    <w:next w:val="Normal"/>
    <w:link w:val="Heading1Char"/>
    <w:uiPriority w:val="9"/>
    <w:qFormat/>
    <w:rsid w:val="006C5D9A"/>
    <w:p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6C5D9A"/>
    <w:pPr>
      <w:spacing w:before="240" w:after="80"/>
      <w:jc w:val="left"/>
      <w:outlineLvl w:val="1"/>
    </w:pPr>
    <w:rPr>
      <w:smallCaps/>
      <w:spacing w:val="5"/>
      <w:sz w:val="28"/>
      <w:szCs w:val="28"/>
    </w:rPr>
  </w:style>
  <w:style w:type="paragraph" w:styleId="Heading3">
    <w:name w:val="heading 3"/>
    <w:basedOn w:val="Normal"/>
    <w:next w:val="Normal"/>
    <w:link w:val="Heading3Char"/>
    <w:uiPriority w:val="9"/>
    <w:semiHidden/>
    <w:unhideWhenUsed/>
    <w:qFormat/>
    <w:rsid w:val="006C5D9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C5D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5D9A"/>
  </w:style>
  <w:style w:type="paragraph" w:styleId="Footer">
    <w:name w:val="footer"/>
    <w:basedOn w:val="Normal"/>
    <w:link w:val="FooterChar"/>
    <w:uiPriority w:val="99"/>
    <w:unhideWhenUsed/>
    <w:rsid w:val="006C5D9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5D9A"/>
  </w:style>
  <w:style w:type="paragraph" w:styleId="BalloonText">
    <w:name w:val="Balloon Text"/>
    <w:basedOn w:val="Normal"/>
    <w:link w:val="BalloonTextChar"/>
    <w:uiPriority w:val="99"/>
    <w:semiHidden/>
    <w:unhideWhenUsed/>
    <w:rsid w:val="006C5D9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5D9A"/>
    <w:rPr>
      <w:rFonts w:ascii="Tahoma" w:hAnsi="Tahoma" w:cs="Tahoma"/>
      <w:sz w:val="16"/>
      <w:szCs w:val="16"/>
    </w:rPr>
  </w:style>
  <w:style w:type="character" w:customStyle="1" w:styleId="Heading1Char">
    <w:name w:val="Heading 1 Char"/>
    <w:basedOn w:val="DefaultParagraphFont"/>
    <w:link w:val="Heading1"/>
    <w:uiPriority w:val="9"/>
    <w:rsid w:val="006C5D9A"/>
    <w:rPr>
      <w:rFonts w:eastAsiaTheme="minorEastAsia"/>
      <w:smallCaps/>
      <w:spacing w:val="5"/>
      <w:sz w:val="32"/>
      <w:szCs w:val="32"/>
    </w:rPr>
  </w:style>
  <w:style w:type="character" w:customStyle="1" w:styleId="Heading2Char">
    <w:name w:val="Heading 2 Char"/>
    <w:basedOn w:val="DefaultParagraphFont"/>
    <w:link w:val="Heading2"/>
    <w:uiPriority w:val="9"/>
    <w:rsid w:val="006C5D9A"/>
    <w:rPr>
      <w:rFonts w:eastAsiaTheme="minorEastAsia"/>
      <w:smallCaps/>
      <w:spacing w:val="5"/>
      <w:sz w:val="28"/>
      <w:szCs w:val="28"/>
    </w:rPr>
  </w:style>
  <w:style w:type="paragraph" w:styleId="ListParagraph">
    <w:name w:val="List Paragraph"/>
    <w:basedOn w:val="Normal"/>
    <w:uiPriority w:val="34"/>
    <w:qFormat/>
    <w:rsid w:val="006C5D9A"/>
    <w:pPr>
      <w:ind w:left="720"/>
      <w:contextualSpacing/>
    </w:pPr>
  </w:style>
  <w:style w:type="paragraph" w:styleId="Title">
    <w:name w:val="Title"/>
    <w:basedOn w:val="Normal"/>
    <w:next w:val="Normal"/>
    <w:link w:val="TitleChar"/>
    <w:uiPriority w:val="10"/>
    <w:qFormat/>
    <w:rsid w:val="006C5D9A"/>
    <w:pPr>
      <w:pBdr>
        <w:top w:val="single" w:sz="12" w:space="1" w:color="C0504D"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6C5D9A"/>
    <w:rPr>
      <w:rFonts w:eastAsiaTheme="minorEastAsia"/>
      <w:smallCaps/>
      <w:sz w:val="48"/>
      <w:szCs w:val="48"/>
    </w:rPr>
  </w:style>
  <w:style w:type="character" w:customStyle="1" w:styleId="Heading3Char">
    <w:name w:val="Heading 3 Char"/>
    <w:basedOn w:val="DefaultParagraphFont"/>
    <w:link w:val="Heading3"/>
    <w:uiPriority w:val="9"/>
    <w:semiHidden/>
    <w:rsid w:val="006C5D9A"/>
    <w:rPr>
      <w:rFonts w:asciiTheme="majorHAnsi" w:eastAsiaTheme="majorEastAsia" w:hAnsiTheme="majorHAnsi" w:cstheme="majorBidi"/>
      <w:b/>
      <w:bCs/>
      <w:color w:val="4F81BD" w:themeColor="accent1"/>
      <w:sz w:val="20"/>
      <w:szCs w:val="20"/>
    </w:rPr>
  </w:style>
  <w:style w:type="character" w:styleId="Hyperlink">
    <w:name w:val="Hyperlink"/>
    <w:basedOn w:val="DefaultParagraphFont"/>
    <w:uiPriority w:val="99"/>
    <w:unhideWhenUsed/>
    <w:rsid w:val="006C5D9A"/>
    <w:rPr>
      <w:color w:val="0000FF" w:themeColor="hyperlink"/>
      <w:u w:val="single"/>
    </w:rPr>
  </w:style>
  <w:style w:type="character" w:styleId="Strong">
    <w:name w:val="Strong"/>
    <w:basedOn w:val="DefaultParagraphFont"/>
    <w:uiPriority w:val="22"/>
    <w:qFormat/>
    <w:rsid w:val="00B56210"/>
    <w:rPr>
      <w:b/>
      <w:bCs/>
    </w:rPr>
  </w:style>
  <w:style w:type="table" w:styleId="TableGrid">
    <w:name w:val="Table Grid"/>
    <w:basedOn w:val="TableNormal"/>
    <w:uiPriority w:val="59"/>
    <w:rsid w:val="00B5621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2.jp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5BD2DFF-B5F6-4964-A8B0-40787189B3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736</Words>
  <Characters>4200</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4927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Emilia Istrate</dc:creator>
  <cp:lastModifiedBy>Kavita Mak</cp:lastModifiedBy>
  <cp:revision>2</cp:revision>
  <cp:lastPrinted>2013-10-01T23:04:00Z</cp:lastPrinted>
  <dcterms:created xsi:type="dcterms:W3CDTF">2013-10-15T20:08:00Z</dcterms:created>
  <dcterms:modified xsi:type="dcterms:W3CDTF">2013-10-15T20:08:00Z</dcterms:modified>
</cp:coreProperties>
</file>