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8D41B7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sz w:val="40"/>
          <w:szCs w:val="40"/>
        </w:rPr>
        <w:t>Missouri</w:t>
      </w:r>
      <w:r w:rsidR="00145E69" w:rsidRPr="00145E69">
        <w:rPr>
          <w:rFonts w:ascii="HelveticaNeueLT Std" w:hAnsi="HelveticaNeueLT Std"/>
          <w:sz w:val="40"/>
          <w:szCs w:val="40"/>
        </w:rPr>
        <w:t xml:space="preserve"> Counties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0B6B9C" w:rsidRDefault="00B475A9" w:rsidP="008D41B7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="0051261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>The real property tax rate may not exceed $0.35 per $100 of value if the county has a total assessed value of at least $300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 million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 and has attained first-class status or $0.50 per $100 of value if it does not meet these criteria. A county may set a tax rate above these limits only if it has the approval of two-thirds of qualified voters in a special election or if it is specifically authorized by state law to do so for special purposes </w:t>
      </w:r>
      <w:r w:rsidR="008178CB">
        <w:rPr>
          <w:rFonts w:ascii="Arial" w:eastAsia="Times New Roman" w:hAnsi="Arial" w:cs="Arial"/>
          <w:color w:val="000000"/>
          <w:sz w:val="22"/>
          <w:szCs w:val="22"/>
        </w:rPr>
        <w:t>including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 the maintenance of roads and bridges.</w:t>
      </w:r>
    </w:p>
    <w:p w:rsidR="000B6B9C" w:rsidRDefault="000B6B9C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8D41B7" w:rsidRDefault="008D41B7" w:rsidP="008D41B7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ounties do not have the authority to levy general sales or use taxes. However, 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some 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>counties have the authority to impose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 various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special purpose 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sales taxes if qualified voters approve 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 taxes in special elections. The various purposes include: capital improvements, trans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>portation, property tax relief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 xml:space="preserve">, tourism, parks and recreational areas, storm water control, emergency services, and economic development. </w:t>
      </w:r>
    </w:p>
    <w:p w:rsidR="008D41B7" w:rsidRDefault="008D41B7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8D41B7" w:rsidRDefault="008D41B7" w:rsidP="008D41B7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>Motor vehicles are subject to ad valorem person</w:t>
      </w:r>
      <w:r w:rsidR="008178CB">
        <w:rPr>
          <w:rFonts w:ascii="Arial" w:eastAsia="Times New Roman" w:hAnsi="Arial" w:cs="Arial"/>
          <w:color w:val="000000"/>
          <w:sz w:val="22"/>
          <w:szCs w:val="22"/>
        </w:rPr>
        <w:t>al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 property taxes. </w:t>
      </w:r>
    </w:p>
    <w:p w:rsidR="008D41B7" w:rsidRDefault="008D41B7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6B9C" w:rsidRDefault="000B6B9C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="00D81F0B" w:rsidRPr="00D81F0B">
        <w:rPr>
          <w:rFonts w:ascii="Calibri" w:hAnsi="Calibri"/>
          <w:sz w:val="22"/>
          <w:szCs w:val="22"/>
        </w:rPr>
        <w:t xml:space="preserve"> 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>The county commission is charged with the care and control of county highways</w:t>
      </w:r>
      <w:r w:rsidR="00D81F0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D81F0B" w:rsidRPr="00D81F0B">
        <w:rPr>
          <w:rFonts w:ascii="Arial" w:eastAsia="Times New Roman" w:hAnsi="Arial" w:cs="Arial"/>
          <w:color w:val="000000"/>
          <w:sz w:val="22"/>
          <w:szCs w:val="22"/>
        </w:rPr>
        <w:t>the commission may make an annual levy or issue bonds to construct, improve, enlarge, maintain, and operate county roads</w:t>
      </w:r>
    </w:p>
    <w:p w:rsidR="00D81F0B" w:rsidRDefault="00D81F0B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DD7D4E" w:rsidRPr="00B475A9" w:rsidRDefault="00D81F0B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81F0B">
        <w:rPr>
          <w:rFonts w:ascii="Arial" w:eastAsia="Times New Roman" w:hAnsi="Arial" w:cs="Arial"/>
          <w:color w:val="000000"/>
          <w:sz w:val="22"/>
          <w:szCs w:val="22"/>
        </w:rPr>
        <w:t>Charter counties may additionally operate parking facilities in the county. The county may finance these facilities by issuing revenue bonds if the parking area is a pay facility, general obligation bonds, or by appropriating general revenue funds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B475A9" w:rsidRPr="00B475A9" w:rsidRDefault="00B475A9" w:rsidP="00B475A9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Counties Receive:</w:t>
      </w:r>
    </w:p>
    <w:p w:rsidR="00FD2FB5" w:rsidRDefault="00B475A9" w:rsidP="00FD2FB5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•</w:t>
      </w:r>
      <w:r w:rsidR="00D81F0B">
        <w:rPr>
          <w:rFonts w:ascii="Arial" w:hAnsi="Arial" w:cs="Arial"/>
          <w:sz w:val="22"/>
          <w:szCs w:val="22"/>
        </w:rPr>
        <w:t xml:space="preserve"> </w:t>
      </w:r>
      <w:r w:rsidR="00AB5C80">
        <w:rPr>
          <w:rFonts w:ascii="Arial" w:hAnsi="Arial" w:cs="Arial"/>
          <w:sz w:val="22"/>
          <w:szCs w:val="22"/>
        </w:rPr>
        <w:t xml:space="preserve">Total state gas tax is set at 17 cents, and is expected to bring $680 million in FY2013. </w:t>
      </w:r>
    </w:p>
    <w:p w:rsidR="00AB5C80" w:rsidRDefault="00AB5C80" w:rsidP="00FD2FB5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AB5C80" w:rsidRDefault="00AB5C80" w:rsidP="00AB5C80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For FY2013, County Aid Road Trust (CART) revenues are projected to be:</w:t>
      </w:r>
    </w:p>
    <w:p w:rsidR="00AB5C80" w:rsidRDefault="00AB5C80" w:rsidP="00FD2FB5">
      <w:pPr>
        <w:spacing w:after="0"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937" w:type="dxa"/>
        <w:tblLook w:val="04A0" w:firstRow="1" w:lastRow="0" w:firstColumn="1" w:lastColumn="0" w:noHBand="0" w:noVBand="1"/>
      </w:tblPr>
      <w:tblGrid>
        <w:gridCol w:w="3528"/>
        <w:gridCol w:w="1440"/>
        <w:gridCol w:w="1350"/>
      </w:tblGrid>
      <w:tr w:rsidR="00AB5C80" w:rsidRPr="00AB5C80" w:rsidTr="00186CC3">
        <w:trPr>
          <w:trHeight w:val="300"/>
        </w:trPr>
        <w:tc>
          <w:tcPr>
            <w:tcW w:w="3528" w:type="dxa"/>
            <w:noWrap/>
            <w:hideMark/>
          </w:tcPr>
          <w:p w:rsidR="00AB5C80" w:rsidRPr="00AB5C80" w:rsidRDefault="00AB5C80" w:rsidP="00AB5C80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Revenue Source</w:t>
            </w:r>
          </w:p>
        </w:tc>
        <w:tc>
          <w:tcPr>
            <w:tcW w:w="1440" w:type="dxa"/>
            <w:noWrap/>
            <w:hideMark/>
          </w:tcPr>
          <w:p w:rsidR="00AB5C80" w:rsidRPr="00AB5C80" w:rsidRDefault="00AB5C80" w:rsidP="00AB5C80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Amount (millions)</w:t>
            </w:r>
          </w:p>
        </w:tc>
        <w:tc>
          <w:tcPr>
            <w:tcW w:w="1350" w:type="dxa"/>
            <w:noWrap/>
            <w:hideMark/>
          </w:tcPr>
          <w:p w:rsidR="00AB5C80" w:rsidRPr="00AB5C80" w:rsidRDefault="00AB5C80" w:rsidP="00AB5C80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Share of T</w:t>
            </w:r>
            <w:r w:rsidRPr="00AB5C8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otal</w:t>
            </w:r>
          </w:p>
        </w:tc>
      </w:tr>
      <w:tr w:rsidR="00AB5C80" w:rsidRPr="00AB5C80" w:rsidTr="00186CC3">
        <w:trPr>
          <w:trHeight w:val="300"/>
        </w:trPr>
        <w:tc>
          <w:tcPr>
            <w:tcW w:w="3528" w:type="dxa"/>
            <w:noWrap/>
            <w:hideMark/>
          </w:tcPr>
          <w:p w:rsidR="00AB5C80" w:rsidRPr="00AB5C80" w:rsidRDefault="00AB5C80" w:rsidP="00AB5C8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County share of gas tax</w:t>
            </w:r>
          </w:p>
        </w:tc>
        <w:tc>
          <w:tcPr>
            <w:tcW w:w="144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$79.4 </w:t>
            </w:r>
          </w:p>
        </w:tc>
        <w:tc>
          <w:tcPr>
            <w:tcW w:w="135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77%</w:t>
            </w:r>
          </w:p>
        </w:tc>
      </w:tr>
      <w:tr w:rsidR="00AB5C80" w:rsidRPr="00AB5C80" w:rsidTr="00186CC3">
        <w:trPr>
          <w:trHeight w:val="600"/>
        </w:trPr>
        <w:tc>
          <w:tcPr>
            <w:tcW w:w="3528" w:type="dxa"/>
            <w:hideMark/>
          </w:tcPr>
          <w:p w:rsidR="00AB5C80" w:rsidRPr="00AB5C80" w:rsidRDefault="00AB5C80" w:rsidP="00AB5C8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County intake from motor vehicle sales/use tax</w:t>
            </w:r>
          </w:p>
        </w:tc>
        <w:tc>
          <w:tcPr>
            <w:tcW w:w="144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$13.6 </w:t>
            </w:r>
          </w:p>
        </w:tc>
        <w:tc>
          <w:tcPr>
            <w:tcW w:w="135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13%</w:t>
            </w:r>
          </w:p>
        </w:tc>
      </w:tr>
      <w:tr w:rsidR="00AB5C80" w:rsidRPr="00AB5C80" w:rsidTr="00186CC3">
        <w:trPr>
          <w:trHeight w:val="300"/>
        </w:trPr>
        <w:tc>
          <w:tcPr>
            <w:tcW w:w="3528" w:type="dxa"/>
            <w:noWrap/>
            <w:hideMark/>
          </w:tcPr>
          <w:p w:rsidR="00AB5C80" w:rsidRPr="00AB5C80" w:rsidRDefault="00AB5C80" w:rsidP="00AB5C8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Vehicle fees</w:t>
            </w:r>
          </w:p>
        </w:tc>
        <w:tc>
          <w:tcPr>
            <w:tcW w:w="144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$10.6 </w:t>
            </w:r>
          </w:p>
        </w:tc>
        <w:tc>
          <w:tcPr>
            <w:tcW w:w="135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10%</w:t>
            </w:r>
          </w:p>
        </w:tc>
      </w:tr>
      <w:tr w:rsidR="00AB5C80" w:rsidRPr="00AB5C80" w:rsidTr="00186CC3">
        <w:trPr>
          <w:trHeight w:val="300"/>
        </w:trPr>
        <w:tc>
          <w:tcPr>
            <w:tcW w:w="3528" w:type="dxa"/>
            <w:noWrap/>
            <w:hideMark/>
          </w:tcPr>
          <w:p w:rsidR="00AB5C80" w:rsidRPr="00AB5C80" w:rsidRDefault="00AB5C80" w:rsidP="00AB5C8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$103.6 </w:t>
            </w:r>
          </w:p>
        </w:tc>
        <w:tc>
          <w:tcPr>
            <w:tcW w:w="1350" w:type="dxa"/>
            <w:noWrap/>
            <w:hideMark/>
          </w:tcPr>
          <w:p w:rsidR="00AB5C80" w:rsidRPr="00AB5C80" w:rsidRDefault="00AB5C80" w:rsidP="00AB5C80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B5C8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100%</w:t>
            </w:r>
          </w:p>
        </w:tc>
      </w:tr>
    </w:tbl>
    <w:p w:rsidR="00AB5C80" w:rsidRDefault="00AB5C80" w:rsidP="00FD2FB5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C1B4D" w:rsidRDefault="00BC3CDE" w:rsidP="00C0534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D2FB5" w:rsidRDefault="00FD2FB5" w:rsidP="00FD2FB5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•</w:t>
      </w:r>
      <w:r w:rsidR="00186CC3">
        <w:rPr>
          <w:rFonts w:ascii="Arial" w:hAnsi="Arial" w:cs="Arial"/>
          <w:sz w:val="22"/>
          <w:szCs w:val="22"/>
        </w:rPr>
        <w:t xml:space="preserve"> </w:t>
      </w:r>
      <w:r w:rsidR="0060132B" w:rsidRPr="0060132B">
        <w:rPr>
          <w:rFonts w:ascii="Arial" w:hAnsi="Arial" w:cs="Arial"/>
          <w:sz w:val="22"/>
          <w:szCs w:val="22"/>
        </w:rPr>
        <w:t xml:space="preserve">CCS HCS SB 23 </w:t>
      </w:r>
      <w:r w:rsidR="0060132B">
        <w:rPr>
          <w:rFonts w:ascii="Arial" w:hAnsi="Arial" w:cs="Arial"/>
          <w:sz w:val="22"/>
          <w:szCs w:val="22"/>
        </w:rPr>
        <w:t>eliminates</w:t>
      </w:r>
      <w:r w:rsidR="00186CC3">
        <w:rPr>
          <w:rFonts w:ascii="Arial" w:hAnsi="Arial" w:cs="Arial"/>
          <w:sz w:val="22"/>
          <w:szCs w:val="22"/>
        </w:rPr>
        <w:t xml:space="preserve"> both state and local use taxes on the storage, use or consumption of motor vehicles, trailers, boats or outboard motors. This act specifies that a sales tax is to be collected for the titling of such property. </w:t>
      </w:r>
    </w:p>
    <w:p w:rsidR="00FD2FB5" w:rsidRDefault="00FD2FB5" w:rsidP="00C0534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FD2FB5" w:rsidRDefault="00FD2FB5" w:rsidP="00FD2FB5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lastRenderedPageBreak/>
        <w:t>•</w:t>
      </w:r>
      <w:r w:rsidR="00186CC3">
        <w:rPr>
          <w:rFonts w:ascii="Arial" w:hAnsi="Arial" w:cs="Arial"/>
          <w:sz w:val="22"/>
          <w:szCs w:val="22"/>
        </w:rPr>
        <w:t xml:space="preserve"> </w:t>
      </w:r>
      <w:r w:rsidR="00AE7DB9">
        <w:rPr>
          <w:rFonts w:ascii="Arial" w:hAnsi="Arial" w:cs="Arial"/>
          <w:sz w:val="22"/>
          <w:szCs w:val="22"/>
        </w:rPr>
        <w:t xml:space="preserve">Counties can establish Tax Increment Financing (TIF) districts and commissions. </w:t>
      </w:r>
      <w:r w:rsidR="00047C65">
        <w:rPr>
          <w:rFonts w:ascii="Arial" w:hAnsi="Arial" w:cs="Arial"/>
          <w:sz w:val="22"/>
          <w:szCs w:val="22"/>
        </w:rPr>
        <w:t xml:space="preserve">Currently, 50 percent of </w:t>
      </w:r>
      <w:r w:rsidR="00AE7DB9">
        <w:rPr>
          <w:rFonts w:ascii="Arial" w:hAnsi="Arial" w:cs="Arial"/>
          <w:sz w:val="22"/>
          <w:szCs w:val="22"/>
        </w:rPr>
        <w:t xml:space="preserve">additional </w:t>
      </w:r>
      <w:r w:rsidR="00047C65">
        <w:rPr>
          <w:rFonts w:ascii="Arial" w:hAnsi="Arial" w:cs="Arial"/>
          <w:sz w:val="22"/>
          <w:szCs w:val="22"/>
        </w:rPr>
        <w:t>revenue</w:t>
      </w:r>
      <w:r w:rsidR="008178CB">
        <w:rPr>
          <w:rFonts w:ascii="Arial" w:hAnsi="Arial" w:cs="Arial"/>
          <w:sz w:val="22"/>
          <w:szCs w:val="22"/>
        </w:rPr>
        <w:t>s</w:t>
      </w:r>
      <w:r w:rsidR="00047C65">
        <w:rPr>
          <w:rFonts w:ascii="Arial" w:hAnsi="Arial" w:cs="Arial"/>
          <w:sz w:val="22"/>
          <w:szCs w:val="22"/>
        </w:rPr>
        <w:t xml:space="preserve"> generated by </w:t>
      </w:r>
      <w:r w:rsidR="00AE7DB9">
        <w:rPr>
          <w:rFonts w:ascii="Arial" w:hAnsi="Arial" w:cs="Arial"/>
          <w:sz w:val="22"/>
          <w:szCs w:val="22"/>
        </w:rPr>
        <w:t>TIFs</w:t>
      </w:r>
      <w:r w:rsidR="00177A95">
        <w:rPr>
          <w:rFonts w:ascii="Arial" w:hAnsi="Arial" w:cs="Arial"/>
          <w:sz w:val="22"/>
          <w:szCs w:val="22"/>
        </w:rPr>
        <w:t xml:space="preserve"> </w:t>
      </w:r>
      <w:r w:rsidR="00047C65">
        <w:rPr>
          <w:rFonts w:ascii="Arial" w:hAnsi="Arial" w:cs="Arial"/>
          <w:sz w:val="22"/>
          <w:szCs w:val="22"/>
        </w:rPr>
        <w:t>are to be deposited into the special allocation fund for the TIF project</w:t>
      </w:r>
    </w:p>
    <w:p w:rsidR="00FD2FB5" w:rsidRDefault="00FD2FB5" w:rsidP="00C0534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FD2FB5" w:rsidRPr="00177A95" w:rsidRDefault="00FD2FB5" w:rsidP="00177A95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•</w:t>
      </w:r>
      <w:r w:rsidR="00DD7D4E">
        <w:rPr>
          <w:rFonts w:ascii="Arial" w:hAnsi="Arial" w:cs="Arial"/>
          <w:sz w:val="22"/>
          <w:szCs w:val="22"/>
        </w:rPr>
        <w:t xml:space="preserve"> Counties can create Transportation Development Districts (TDD) </w:t>
      </w:r>
      <w:r w:rsidR="008178CB">
        <w:rPr>
          <w:rFonts w:ascii="Arial" w:hAnsi="Arial" w:cs="Arial"/>
          <w:sz w:val="22"/>
          <w:szCs w:val="22"/>
        </w:rPr>
        <w:t>and</w:t>
      </w:r>
      <w:r w:rsidR="00DD7D4E" w:rsidRPr="00DD7D4E">
        <w:rPr>
          <w:rFonts w:ascii="Arial" w:hAnsi="Arial" w:cs="Arial"/>
          <w:sz w:val="22"/>
          <w:szCs w:val="22"/>
        </w:rPr>
        <w:t xml:space="preserve"> impose a sal</w:t>
      </w:r>
      <w:r w:rsidR="00496DD2">
        <w:rPr>
          <w:rFonts w:ascii="Arial" w:hAnsi="Arial" w:cs="Arial"/>
          <w:sz w:val="22"/>
          <w:szCs w:val="22"/>
        </w:rPr>
        <w:t>es tax in increments of 1/8 percent up to one percent</w:t>
      </w:r>
      <w:bookmarkStart w:id="0" w:name="_GoBack"/>
      <w:bookmarkEnd w:id="0"/>
      <w:r w:rsidR="00DD7D4E" w:rsidRPr="00DD7D4E">
        <w:rPr>
          <w:rFonts w:ascii="Arial" w:hAnsi="Arial" w:cs="Arial"/>
          <w:sz w:val="22"/>
          <w:szCs w:val="22"/>
        </w:rPr>
        <w:t>. TDD sales taxes have historically been collected by the district or local authority.</w:t>
      </w:r>
      <w:r w:rsidR="00177A95">
        <w:rPr>
          <w:rFonts w:ascii="Arial" w:hAnsi="Arial" w:cs="Arial"/>
          <w:sz w:val="22"/>
          <w:szCs w:val="22"/>
        </w:rPr>
        <w:t xml:space="preserve"> Unlike TIF, the TDD</w:t>
      </w:r>
      <w:r w:rsidR="00177A95" w:rsidRPr="00177A95">
        <w:rPr>
          <w:rFonts w:ascii="Arial" w:hAnsi="Arial" w:cs="Arial"/>
          <w:sz w:val="22"/>
          <w:szCs w:val="22"/>
        </w:rPr>
        <w:t xml:space="preserve"> imposes </w:t>
      </w:r>
      <w:r w:rsidR="00177A95">
        <w:rPr>
          <w:rFonts w:ascii="Arial" w:hAnsi="Arial" w:cs="Arial"/>
          <w:sz w:val="22"/>
          <w:szCs w:val="22"/>
        </w:rPr>
        <w:t xml:space="preserve">its own taxes to fund projects </w:t>
      </w:r>
      <w:r w:rsidR="00177A95" w:rsidRPr="00177A95">
        <w:rPr>
          <w:rFonts w:ascii="Arial" w:hAnsi="Arial" w:cs="Arial"/>
          <w:sz w:val="22"/>
          <w:szCs w:val="22"/>
        </w:rPr>
        <w:t>and does not divert or dimini</w:t>
      </w:r>
      <w:r w:rsidR="00177A95">
        <w:rPr>
          <w:rFonts w:ascii="Arial" w:hAnsi="Arial" w:cs="Arial"/>
          <w:sz w:val="22"/>
          <w:szCs w:val="22"/>
        </w:rPr>
        <w:t xml:space="preserve">sh the revenue of other taxing </w:t>
      </w:r>
      <w:r w:rsidR="00177A95" w:rsidRPr="00177A95">
        <w:rPr>
          <w:rFonts w:ascii="Arial" w:hAnsi="Arial" w:cs="Arial"/>
          <w:sz w:val="22"/>
          <w:szCs w:val="22"/>
        </w:rPr>
        <w:t>jurisdictions.</w:t>
      </w:r>
      <w:r w:rsidR="00177A95" w:rsidRPr="00177A95">
        <w:t xml:space="preserve"> </w:t>
      </w:r>
      <w:r w:rsidR="00177A95">
        <w:rPr>
          <w:rFonts w:ascii="Arial" w:hAnsi="Arial" w:cs="Arial"/>
          <w:sz w:val="22"/>
          <w:szCs w:val="22"/>
        </w:rPr>
        <w:t>F</w:t>
      </w:r>
      <w:r w:rsidR="00177A95" w:rsidRPr="00177A95">
        <w:rPr>
          <w:rFonts w:ascii="Arial" w:hAnsi="Arial" w:cs="Arial"/>
          <w:sz w:val="22"/>
          <w:szCs w:val="22"/>
        </w:rPr>
        <w:t>unding mechanisms include sales tax</w:t>
      </w:r>
      <w:r w:rsidR="00177A95">
        <w:rPr>
          <w:rFonts w:ascii="Arial" w:hAnsi="Arial" w:cs="Arial"/>
          <w:sz w:val="22"/>
          <w:szCs w:val="22"/>
        </w:rPr>
        <w:t xml:space="preserve">, property tax, </w:t>
      </w:r>
      <w:r w:rsidR="00177A95" w:rsidRPr="00177A95">
        <w:rPr>
          <w:rFonts w:ascii="Arial" w:hAnsi="Arial" w:cs="Arial"/>
          <w:sz w:val="22"/>
          <w:szCs w:val="22"/>
        </w:rPr>
        <w:t>special assessment and toll roads</w:t>
      </w:r>
      <w:r w:rsidR="00177A95">
        <w:rPr>
          <w:rFonts w:ascii="Arial" w:hAnsi="Arial" w:cs="Arial"/>
          <w:sz w:val="22"/>
          <w:szCs w:val="22"/>
        </w:rPr>
        <w:t xml:space="preserve">. Revenue </w:t>
      </w:r>
      <w:r w:rsidR="008178CB">
        <w:rPr>
          <w:rFonts w:ascii="Arial" w:hAnsi="Arial" w:cs="Arial"/>
          <w:sz w:val="22"/>
          <w:szCs w:val="22"/>
        </w:rPr>
        <w:t>can</w:t>
      </w:r>
      <w:r w:rsidR="00177A95">
        <w:rPr>
          <w:rFonts w:ascii="Arial" w:hAnsi="Arial" w:cs="Arial"/>
          <w:sz w:val="22"/>
          <w:szCs w:val="22"/>
        </w:rPr>
        <w:t xml:space="preserve"> be </w:t>
      </w:r>
      <w:r w:rsidR="00177A95" w:rsidRPr="00177A95">
        <w:rPr>
          <w:rFonts w:ascii="Arial" w:hAnsi="Arial" w:cs="Arial"/>
          <w:sz w:val="22"/>
          <w:szCs w:val="22"/>
        </w:rPr>
        <w:t>applied t</w:t>
      </w:r>
      <w:r w:rsidR="00177A95">
        <w:rPr>
          <w:rFonts w:ascii="Arial" w:hAnsi="Arial" w:cs="Arial"/>
          <w:sz w:val="22"/>
          <w:szCs w:val="22"/>
        </w:rPr>
        <w:t xml:space="preserve">o project costs including debt </w:t>
      </w:r>
      <w:r w:rsidR="00177A95" w:rsidRPr="00177A95">
        <w:rPr>
          <w:rFonts w:ascii="Arial" w:hAnsi="Arial" w:cs="Arial"/>
          <w:sz w:val="22"/>
          <w:szCs w:val="22"/>
        </w:rPr>
        <w:t>service on revenue bonds or</w:t>
      </w:r>
      <w:r w:rsidR="00177A95">
        <w:rPr>
          <w:rFonts w:ascii="Arial" w:hAnsi="Arial" w:cs="Arial"/>
          <w:sz w:val="22"/>
          <w:szCs w:val="22"/>
        </w:rPr>
        <w:t xml:space="preserve"> refunding bonds issued by the </w:t>
      </w:r>
      <w:r w:rsidR="00177A95" w:rsidRPr="00177A95">
        <w:rPr>
          <w:rFonts w:ascii="Arial" w:hAnsi="Arial" w:cs="Arial"/>
          <w:sz w:val="22"/>
          <w:szCs w:val="22"/>
        </w:rPr>
        <w:t>dist</w:t>
      </w:r>
      <w:r w:rsidR="00177A95">
        <w:rPr>
          <w:rFonts w:ascii="Arial" w:hAnsi="Arial" w:cs="Arial"/>
          <w:sz w:val="22"/>
          <w:szCs w:val="22"/>
        </w:rPr>
        <w:t xml:space="preserve">rict or the Commission. </w:t>
      </w:r>
    </w:p>
    <w:p w:rsidR="00FD2FB5" w:rsidRDefault="00FD2FB5" w:rsidP="00C0534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Challenges in Funding and Financing Transportation Projects:</w:t>
      </w:r>
    </w:p>
    <w:p w:rsidR="00855071" w:rsidRDefault="00B475A9" w:rsidP="00855071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475A9">
        <w:rPr>
          <w:rFonts w:ascii="Arial" w:hAnsi="Arial" w:cs="Arial"/>
          <w:sz w:val="22"/>
          <w:szCs w:val="22"/>
        </w:rPr>
        <w:t>•</w:t>
      </w:r>
      <w:r w:rsidR="00DD7D4E">
        <w:rPr>
          <w:rFonts w:ascii="Arial" w:hAnsi="Arial" w:cs="Arial"/>
          <w:sz w:val="22"/>
          <w:szCs w:val="22"/>
        </w:rPr>
        <w:t xml:space="preserve"> </w:t>
      </w:r>
      <w:r w:rsidR="00827A52" w:rsidRPr="00827A52">
        <w:rPr>
          <w:rFonts w:ascii="Arial" w:hAnsi="Arial" w:cs="Arial"/>
          <w:sz w:val="22"/>
          <w:szCs w:val="22"/>
        </w:rPr>
        <w:t>HCS SS#2 SCS SJR 16</w:t>
      </w:r>
      <w:r w:rsidR="00827A52">
        <w:rPr>
          <w:rFonts w:ascii="Arial" w:hAnsi="Arial" w:cs="Arial"/>
          <w:sz w:val="22"/>
          <w:szCs w:val="22"/>
        </w:rPr>
        <w:t xml:space="preserve"> failed but would have raised the state sales and use tax by </w:t>
      </w:r>
      <w:r w:rsidR="0060132B">
        <w:rPr>
          <w:rFonts w:ascii="Arial" w:hAnsi="Arial" w:cs="Arial"/>
          <w:sz w:val="22"/>
          <w:szCs w:val="22"/>
        </w:rPr>
        <w:t>1 cent for a period of ten years with the proceeds used for transportation purposes. Five percent of the sales and use tax proceeds were to be deposited into the County Aid Transportation Fund.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</w:p>
    <w:p w:rsidR="00855071" w:rsidRPr="00B475A9" w:rsidRDefault="00855071" w:rsidP="00827A5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="000C1B4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use of TDD in conjunction with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TIF can be bene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ficial if there are additional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 xml:space="preserve">transportation-related public improvements 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that would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not otherwise be funded wit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h TIF revenues, either because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such improvements were n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ot included as part of the TIF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redevelopment project or becaus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e the budget limits identified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in the TIF redevelopment plan pr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eclude the use of TIF revenues </w:t>
      </w:r>
      <w:r w:rsidR="00AE7DB9" w:rsidRPr="00AE7DB9">
        <w:rPr>
          <w:rFonts w:ascii="Arial" w:eastAsia="Times New Roman" w:hAnsi="Arial" w:cs="Arial"/>
          <w:color w:val="000000"/>
          <w:sz w:val="22"/>
          <w:szCs w:val="22"/>
        </w:rPr>
        <w:t>to finance such improvements</w:t>
      </w:r>
      <w:r w:rsidR="008178CB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AE7DB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>TDD</w:t>
      </w:r>
      <w:r w:rsidR="00827A52" w:rsidRPr="00827A52"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>nd TIF create a unique synergy that not only generates TDD</w:t>
      </w:r>
      <w:r w:rsidR="00827A52" w:rsidRPr="00827A5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revenue to fund the district’s </w:t>
      </w:r>
      <w:r w:rsidR="00827A52" w:rsidRPr="00827A52">
        <w:rPr>
          <w:rFonts w:ascii="Arial" w:eastAsia="Times New Roman" w:hAnsi="Arial" w:cs="Arial"/>
          <w:color w:val="000000"/>
          <w:sz w:val="22"/>
          <w:szCs w:val="22"/>
        </w:rPr>
        <w:t>portion of the project, but</w:t>
      </w:r>
      <w:r w:rsidR="00827A52">
        <w:rPr>
          <w:rFonts w:ascii="Arial" w:eastAsia="Times New Roman" w:hAnsi="Arial" w:cs="Arial"/>
          <w:color w:val="000000"/>
          <w:sz w:val="22"/>
          <w:szCs w:val="22"/>
        </w:rPr>
        <w:t xml:space="preserve"> also generates additional TIF </w:t>
      </w:r>
      <w:r w:rsidR="00827A52" w:rsidRPr="00827A52">
        <w:rPr>
          <w:rFonts w:ascii="Arial" w:eastAsia="Times New Roman" w:hAnsi="Arial" w:cs="Arial"/>
          <w:color w:val="000000"/>
          <w:sz w:val="22"/>
          <w:szCs w:val="22"/>
        </w:rPr>
        <w:t>revenue to fund the TIF portion of the project.</w:t>
      </w:r>
    </w:p>
    <w:p w:rsidR="008208C1" w:rsidRDefault="008208C1" w:rsidP="008208C1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855071" w:rsidRPr="00B475A9" w:rsidRDefault="00855071" w:rsidP="00855071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B475A9">
        <w:rPr>
          <w:rFonts w:ascii="Arial" w:eastAsia="Times New Roman" w:hAnsi="Arial" w:cs="Arial"/>
          <w:color w:val="000000"/>
          <w:sz w:val="22"/>
          <w:szCs w:val="22"/>
        </w:rPr>
        <w:t>•</w:t>
      </w:r>
    </w:p>
    <w:p w:rsidR="00855071" w:rsidRDefault="00855071" w:rsidP="008208C1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45E69" w:rsidRPr="00145E69" w:rsidRDefault="00145E69" w:rsidP="00145E69"/>
    <w:sectPr w:rsidR="00145E69" w:rsidRPr="00145E69" w:rsidSect="00642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CD" w:rsidRDefault="001853CD" w:rsidP="006C5D9A">
      <w:pPr>
        <w:spacing w:after="0" w:line="240" w:lineRule="auto"/>
      </w:pPr>
      <w:r>
        <w:separator/>
      </w:r>
    </w:p>
  </w:endnote>
  <w:end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CD" w:rsidRDefault="001853CD" w:rsidP="006C5D9A">
      <w:pPr>
        <w:spacing w:after="0" w:line="240" w:lineRule="auto"/>
      </w:pPr>
      <w:r>
        <w:separator/>
      </w:r>
    </w:p>
  </w:footnote>
  <w:foot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37A7C"/>
    <w:rsid w:val="00047C65"/>
    <w:rsid w:val="000907C0"/>
    <w:rsid w:val="000B6B9C"/>
    <w:rsid w:val="000C1B4D"/>
    <w:rsid w:val="00145E69"/>
    <w:rsid w:val="00161A40"/>
    <w:rsid w:val="00177A95"/>
    <w:rsid w:val="001813D1"/>
    <w:rsid w:val="001853CD"/>
    <w:rsid w:val="00186CC3"/>
    <w:rsid w:val="00242859"/>
    <w:rsid w:val="00273493"/>
    <w:rsid w:val="002A2B8A"/>
    <w:rsid w:val="003868B6"/>
    <w:rsid w:val="003C110A"/>
    <w:rsid w:val="0047665C"/>
    <w:rsid w:val="00496DD2"/>
    <w:rsid w:val="004B48FF"/>
    <w:rsid w:val="00512617"/>
    <w:rsid w:val="0060132B"/>
    <w:rsid w:val="00616222"/>
    <w:rsid w:val="00642BFA"/>
    <w:rsid w:val="0069211E"/>
    <w:rsid w:val="006C5D9A"/>
    <w:rsid w:val="00720D69"/>
    <w:rsid w:val="007E2C33"/>
    <w:rsid w:val="008178CB"/>
    <w:rsid w:val="00817AAC"/>
    <w:rsid w:val="008208C1"/>
    <w:rsid w:val="00827A52"/>
    <w:rsid w:val="00855071"/>
    <w:rsid w:val="008673DB"/>
    <w:rsid w:val="008D41B7"/>
    <w:rsid w:val="008E7A90"/>
    <w:rsid w:val="00965E13"/>
    <w:rsid w:val="00A34513"/>
    <w:rsid w:val="00A34C11"/>
    <w:rsid w:val="00A65B64"/>
    <w:rsid w:val="00AB375A"/>
    <w:rsid w:val="00AB5C80"/>
    <w:rsid w:val="00AE7DB9"/>
    <w:rsid w:val="00B475A9"/>
    <w:rsid w:val="00BA311F"/>
    <w:rsid w:val="00BB177A"/>
    <w:rsid w:val="00BC3CDE"/>
    <w:rsid w:val="00C05349"/>
    <w:rsid w:val="00C375C3"/>
    <w:rsid w:val="00C91CC7"/>
    <w:rsid w:val="00CA6F15"/>
    <w:rsid w:val="00D24B29"/>
    <w:rsid w:val="00D46DC1"/>
    <w:rsid w:val="00D81F0B"/>
    <w:rsid w:val="00DC3AD2"/>
    <w:rsid w:val="00DD7D4E"/>
    <w:rsid w:val="00DE45CC"/>
    <w:rsid w:val="00E344D5"/>
    <w:rsid w:val="00E35BDC"/>
    <w:rsid w:val="00E7798C"/>
    <w:rsid w:val="00E912E0"/>
    <w:rsid w:val="00F6217A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5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5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13093-1D1E-4017-BDC8-4DB3B8E4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Anya Nowakowski2</cp:lastModifiedBy>
  <cp:revision>9</cp:revision>
  <cp:lastPrinted>2013-10-01T23:04:00Z</cp:lastPrinted>
  <dcterms:created xsi:type="dcterms:W3CDTF">2013-10-17T22:07:00Z</dcterms:created>
  <dcterms:modified xsi:type="dcterms:W3CDTF">2013-10-29T21:00:00Z</dcterms:modified>
</cp:coreProperties>
</file>