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6DC88" w14:textId="77777777" w:rsidR="0030148E" w:rsidRDefault="00000000">
      <w:pPr>
        <w:pStyle w:val="3"/>
        <w:keepNext w:val="0"/>
        <w:keepLines w:val="0"/>
        <w:spacing w:before="0"/>
        <w:jc w:val="both"/>
        <w:rPr>
          <w:rFonts w:ascii="Times New Roman" w:eastAsia="Times New Roman" w:hAnsi="Times New Roman" w:cs="Times New Roman"/>
          <w:b/>
          <w:bCs/>
          <w:color w:val="000000"/>
          <w:sz w:val="26"/>
          <w:szCs w:val="26"/>
        </w:rPr>
      </w:pPr>
      <w:bookmarkStart w:id="0" w:name="_hh0i2u6spu3u" w:colFirst="0" w:colLast="0"/>
      <w:bookmarkEnd w:id="0"/>
      <w:r>
        <w:rPr>
          <w:rFonts w:ascii="Times New Roman" w:eastAsia="Times New Roman" w:hAnsi="Times New Roman" w:cs="Times New Roman"/>
          <w:b/>
          <w:bCs/>
          <w:color w:val="000000"/>
          <w:sz w:val="26"/>
          <w:szCs w:val="26"/>
        </w:rPr>
        <w:t>Отчет о выборе культуры для выращивания</w:t>
      </w:r>
    </w:p>
    <w:p w14:paraId="1BB74DE9" w14:textId="77777777" w:rsidR="0030148E" w:rsidRDefault="00000000">
      <w:pPr>
        <w:pStyle w:val="3"/>
        <w:keepNext w:val="0"/>
        <w:keepLines w:val="0"/>
        <w:spacing w:before="280"/>
        <w:jc w:val="both"/>
        <w:rPr>
          <w:rFonts w:ascii="Times New Roman" w:eastAsia="Times New Roman" w:hAnsi="Times New Roman" w:cs="Times New Roman"/>
        </w:rPr>
      </w:pPr>
      <w:bookmarkStart w:id="1" w:name="_f8yuwkei65wj" w:colFirst="0" w:colLast="0"/>
      <w:bookmarkEnd w:id="1"/>
      <w:r>
        <w:rPr>
          <w:rFonts w:ascii="Times New Roman" w:eastAsia="Times New Roman" w:hAnsi="Times New Roman" w:cs="Times New Roman"/>
        </w:rPr>
        <w:t xml:space="preserve">1. Целесообразности перехода к </w:t>
      </w:r>
      <w:proofErr w:type="spellStart"/>
      <w:r>
        <w:rPr>
          <w:rFonts w:ascii="Times New Roman" w:eastAsia="Times New Roman" w:hAnsi="Times New Roman" w:cs="Times New Roman"/>
        </w:rPr>
        <w:t>биорегенеративным</w:t>
      </w:r>
      <w:proofErr w:type="spellEnd"/>
      <w:r>
        <w:rPr>
          <w:rFonts w:ascii="Times New Roman" w:eastAsia="Times New Roman" w:hAnsi="Times New Roman" w:cs="Times New Roman"/>
        </w:rPr>
        <w:t xml:space="preserve"> системам жизнеобеспечения на лунной базе</w:t>
      </w:r>
    </w:p>
    <w:p w14:paraId="6234AAD3" w14:textId="77777777" w:rsidR="0030148E" w:rsidRDefault="00000000">
      <w:pPr>
        <w:spacing w:after="240"/>
        <w:ind w:firstLine="720"/>
        <w:jc w:val="both"/>
        <w:rPr>
          <w:rFonts w:ascii="Times New Roman" w:eastAsia="Times New Roman" w:hAnsi="Times New Roman" w:cs="Times New Roman"/>
        </w:rPr>
      </w:pPr>
      <w:r>
        <w:rPr>
          <w:rFonts w:ascii="Times New Roman" w:eastAsia="Times New Roman" w:hAnsi="Times New Roman" w:cs="Times New Roman"/>
        </w:rPr>
        <w:t>Создание лунных баз требует перехода от модели снабжения с Земли к модели замкнутого цикла. При текущей стоимости лунной логистики (~</w:t>
      </w:r>
      <w:r>
        <w:rPr>
          <w:rFonts w:ascii="Times New Roman" w:eastAsia="Times New Roman" w:hAnsi="Times New Roman" w:cs="Times New Roman"/>
          <w:b/>
          <w:bCs/>
        </w:rPr>
        <w:t>$1.2 млн за 1 кг</w:t>
      </w:r>
      <w:r>
        <w:rPr>
          <w:rFonts w:ascii="Times New Roman" w:eastAsia="Times New Roman" w:hAnsi="Times New Roman" w:cs="Times New Roman"/>
        </w:rPr>
        <w:t xml:space="preserve">), обеспечение одного космонавта физиологической нормой свежей зелени (150 г/сутки) путем прямых поставок обойдется бюджету миссии в </w:t>
      </w:r>
      <w:r>
        <w:rPr>
          <w:rFonts w:ascii="Times New Roman" w:eastAsia="Times New Roman" w:hAnsi="Times New Roman" w:cs="Times New Roman"/>
          <w:b/>
          <w:bCs/>
        </w:rPr>
        <w:t>$16.2 млн ежемесячно</w:t>
      </w:r>
      <w:r>
        <w:rPr>
          <w:rFonts w:ascii="Times New Roman" w:eastAsia="Times New Roman" w:hAnsi="Times New Roman" w:cs="Times New Roman"/>
        </w:rPr>
        <w:t xml:space="preserve">. Локальное выращивание биомассы на базе </w:t>
      </w:r>
      <w:proofErr w:type="spellStart"/>
      <w:r>
        <w:rPr>
          <w:rFonts w:ascii="Times New Roman" w:eastAsia="Times New Roman" w:hAnsi="Times New Roman" w:cs="Times New Roman"/>
        </w:rPr>
        <w:t>аэропонной</w:t>
      </w:r>
      <w:proofErr w:type="spellEnd"/>
      <w:r>
        <w:rPr>
          <w:rFonts w:ascii="Times New Roman" w:eastAsia="Times New Roman" w:hAnsi="Times New Roman" w:cs="Times New Roman"/>
        </w:rPr>
        <w:t xml:space="preserve"> ЗСЖО полностью окупает стартовую массу оборудования всего за </w:t>
      </w:r>
      <w:r>
        <w:rPr>
          <w:rFonts w:ascii="Times New Roman" w:eastAsia="Times New Roman" w:hAnsi="Times New Roman" w:cs="Times New Roman"/>
          <w:b/>
          <w:bCs/>
        </w:rPr>
        <w:t>4 месяца</w:t>
      </w:r>
      <w:r>
        <w:rPr>
          <w:rFonts w:ascii="Times New Roman" w:eastAsia="Times New Roman" w:hAnsi="Times New Roman" w:cs="Times New Roman"/>
        </w:rPr>
        <w:t>, сокращая эксплуатационные издержки почти в два раза.</w:t>
      </w:r>
    </w:p>
    <w:p w14:paraId="198A4FEC" w14:textId="77777777" w:rsidR="0030148E" w:rsidRDefault="00000000">
      <w:pPr>
        <w:spacing w:after="240"/>
        <w:ind w:firstLine="720"/>
        <w:jc w:val="both"/>
        <w:rPr>
          <w:rFonts w:ascii="Times New Roman" w:eastAsia="Times New Roman" w:hAnsi="Times New Roman" w:cs="Times New Roman"/>
        </w:rPr>
      </w:pPr>
      <w:r>
        <w:rPr>
          <w:rFonts w:ascii="Times New Roman" w:eastAsia="Times New Roman" w:hAnsi="Times New Roman" w:cs="Times New Roman"/>
        </w:rPr>
        <w:t xml:space="preserve">Помимо математически доказанной экономической эффективности и гарантии выживания при задержках грузовых </w:t>
      </w:r>
      <w:proofErr w:type="gramStart"/>
      <w:r>
        <w:rPr>
          <w:rFonts w:ascii="Times New Roman" w:eastAsia="Times New Roman" w:hAnsi="Times New Roman" w:cs="Times New Roman"/>
        </w:rPr>
        <w:t>кораблей ,</w:t>
      </w:r>
      <w:proofErr w:type="gramEnd"/>
      <w:r>
        <w:rPr>
          <w:rFonts w:ascii="Times New Roman" w:eastAsia="Times New Roman" w:hAnsi="Times New Roman" w:cs="Times New Roman"/>
        </w:rPr>
        <w:t xml:space="preserve"> выращивание растений в космосе решает три критические задачи:</w:t>
      </w:r>
    </w:p>
    <w:p w14:paraId="6A28E075" w14:textId="77777777" w:rsidR="0030148E" w:rsidRDefault="00000000">
      <w:pPr>
        <w:numPr>
          <w:ilvl w:val="0"/>
          <w:numId w:val="3"/>
        </w:numPr>
      </w:pPr>
      <w:r>
        <w:rPr>
          <w:rFonts w:ascii="Times New Roman" w:eastAsia="Times New Roman" w:hAnsi="Times New Roman" w:cs="Times New Roman"/>
          <w:b/>
          <w:bCs/>
        </w:rPr>
        <w:t>Регенерация среды:</w:t>
      </w:r>
      <w:r>
        <w:rPr>
          <w:rFonts w:ascii="Times New Roman" w:eastAsia="Times New Roman" w:hAnsi="Times New Roman" w:cs="Times New Roman"/>
        </w:rPr>
        <w:t xml:space="preserve"> Растения поглощают углекислый газ и вырабатывают кислород, а также участвуют в транспирации, очищая воду внутри жилого модуля.</w:t>
      </w:r>
    </w:p>
    <w:p w14:paraId="3D37CC89" w14:textId="77777777" w:rsidR="0030148E" w:rsidRDefault="00000000">
      <w:pPr>
        <w:numPr>
          <w:ilvl w:val="0"/>
          <w:numId w:val="3"/>
        </w:numPr>
      </w:pPr>
      <w:r>
        <w:rPr>
          <w:rFonts w:ascii="Times New Roman" w:eastAsia="Times New Roman" w:hAnsi="Times New Roman" w:cs="Times New Roman"/>
          <w:b/>
          <w:bCs/>
        </w:rPr>
        <w:t>Биологическая безопасность и нутритивная поддержка:</w:t>
      </w:r>
      <w:r>
        <w:rPr>
          <w:rFonts w:ascii="Times New Roman" w:eastAsia="Times New Roman" w:hAnsi="Times New Roman" w:cs="Times New Roman"/>
        </w:rPr>
        <w:t xml:space="preserve"> Свежая продукция является источником фитонцидов и живых микроорганизмов, поддерживающих микробиом кишечника космонавтов. Кроме того, она компенсирует дефицит лабильных нутриентов, которые не могут полностью заменить синтетические добавки.</w:t>
      </w:r>
    </w:p>
    <w:p w14:paraId="20AE6A0E" w14:textId="77777777" w:rsidR="0030148E" w:rsidRDefault="00000000">
      <w:pPr>
        <w:numPr>
          <w:ilvl w:val="0"/>
          <w:numId w:val="3"/>
        </w:numPr>
        <w:spacing w:after="240"/>
      </w:pPr>
      <w:r>
        <w:rPr>
          <w:rFonts w:ascii="Times New Roman" w:eastAsia="Times New Roman" w:hAnsi="Times New Roman" w:cs="Times New Roman"/>
          <w:b/>
          <w:bCs/>
        </w:rPr>
        <w:t>Психологический комфорт:</w:t>
      </w:r>
      <w:r>
        <w:rPr>
          <w:rFonts w:ascii="Times New Roman" w:eastAsia="Times New Roman" w:hAnsi="Times New Roman" w:cs="Times New Roman"/>
        </w:rPr>
        <w:t xml:space="preserve"> «Эффект оранжереи» снижает уровень стресса у экипажа, находящегося в условиях сенсорной депривации.</w:t>
      </w:r>
    </w:p>
    <w:p w14:paraId="5E275D19" w14:textId="77777777" w:rsidR="0030148E" w:rsidRDefault="00000000">
      <w:pPr>
        <w:pStyle w:val="3"/>
        <w:spacing w:after="240"/>
        <w:rPr>
          <w:rFonts w:ascii="Times New Roman" w:eastAsia="Times New Roman" w:hAnsi="Times New Roman" w:cs="Times New Roman"/>
        </w:rPr>
      </w:pPr>
      <w:bookmarkStart w:id="2" w:name="_e52n8kghek0i" w:colFirst="0" w:colLast="0"/>
      <w:bookmarkEnd w:id="2"/>
      <w:r>
        <w:rPr>
          <w:rFonts w:ascii="Times New Roman" w:eastAsia="Times New Roman" w:hAnsi="Times New Roman" w:cs="Times New Roman"/>
        </w:rPr>
        <w:t>2. Ограничения сублимированных рационов и синтетических БАДов</w:t>
      </w:r>
    </w:p>
    <w:p w14:paraId="272B62E6"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На сегодняшний день энергетическая потребность космонавтов на МКС (2500–3000 ккал в сутки) покрывается за счет запасов сублимированных, облученных и термостабилизированных блюд. Однако для длительных лунных и марсианских миссий такая модель питания имеет два ограничения, требующих обязательной компенсации свежей фитомассой.</w:t>
      </w:r>
    </w:p>
    <w:p w14:paraId="467DCABA" w14:textId="77777777" w:rsidR="0030148E" w:rsidRDefault="00000000">
      <w:pPr>
        <w:pStyle w:val="4"/>
        <w:keepNext w:val="0"/>
        <w:keepLines w:val="0"/>
        <w:spacing w:before="240" w:after="40"/>
        <w:jc w:val="both"/>
        <w:rPr>
          <w:rFonts w:ascii="Times New Roman" w:eastAsia="Times New Roman" w:hAnsi="Times New Roman" w:cs="Times New Roman"/>
          <w:b/>
          <w:bCs/>
          <w:color w:val="000000"/>
          <w:sz w:val="22"/>
          <w:szCs w:val="22"/>
        </w:rPr>
      </w:pPr>
      <w:bookmarkStart w:id="3" w:name="_80h2araw22r6" w:colFirst="0" w:colLast="0"/>
      <w:bookmarkEnd w:id="3"/>
      <w:r>
        <w:rPr>
          <w:rFonts w:ascii="Times New Roman" w:eastAsia="Times New Roman" w:hAnsi="Times New Roman" w:cs="Times New Roman"/>
          <w:b/>
          <w:bCs/>
          <w:color w:val="000000"/>
          <w:sz w:val="22"/>
          <w:szCs w:val="22"/>
        </w:rPr>
        <w:t>2.1. Деградация витаминов и разрушение костной ткани</w:t>
      </w:r>
    </w:p>
    <w:p w14:paraId="62D70BBF" w14:textId="77777777" w:rsidR="003014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Хотя общая калорийность космических консервов сохраняется длительное время, их </w:t>
      </w:r>
      <w:proofErr w:type="spellStart"/>
      <w:r>
        <w:rPr>
          <w:rFonts w:ascii="Times New Roman" w:eastAsia="Times New Roman" w:hAnsi="Times New Roman" w:cs="Times New Roman"/>
        </w:rPr>
        <w:t>микронутриентный</w:t>
      </w:r>
      <w:proofErr w:type="spellEnd"/>
      <w:r>
        <w:rPr>
          <w:rFonts w:ascii="Times New Roman" w:eastAsia="Times New Roman" w:hAnsi="Times New Roman" w:cs="Times New Roman"/>
        </w:rPr>
        <w:t xml:space="preserve"> профиль стремительно разрушается. Согласно анализу Космического центра имени Линдона Джонсона (NASA), оценивающему космическую еду после 1–3 лет хранения, концентрация лабильных витаминов падает до критических значений:</w:t>
      </w:r>
    </w:p>
    <w:p w14:paraId="6EEA97D8" w14:textId="77777777" w:rsidR="0030148E"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bCs/>
        </w:rPr>
        <w:t>Витамин С:</w:t>
      </w:r>
      <w:r>
        <w:rPr>
          <w:rFonts w:ascii="Times New Roman" w:eastAsia="Times New Roman" w:hAnsi="Times New Roman" w:cs="Times New Roman"/>
        </w:rPr>
        <w:t xml:space="preserve"> В фруктовых и овощных пайках деградирует на 32–83% к третьему году хранения.</w:t>
      </w:r>
    </w:p>
    <w:p w14:paraId="38D0242B" w14:textId="77777777" w:rsidR="0030148E" w:rsidRPr="00594D93" w:rsidRDefault="00000000">
      <w:pPr>
        <w:numPr>
          <w:ilvl w:val="0"/>
          <w:numId w:val="2"/>
        </w:numPr>
        <w:spacing w:after="240"/>
        <w:rPr>
          <w:rFonts w:ascii="Times New Roman" w:eastAsia="Times New Roman" w:hAnsi="Times New Roman" w:cs="Times New Roman"/>
          <w:lang w:val="en-US"/>
        </w:rPr>
      </w:pPr>
      <w:r>
        <w:rPr>
          <w:rFonts w:ascii="Times New Roman" w:eastAsia="Times New Roman" w:hAnsi="Times New Roman" w:cs="Times New Roman"/>
          <w:b/>
          <w:bCs/>
        </w:rPr>
        <w:t>Витамин B1 и фолиевая кислота:</w:t>
      </w:r>
      <w:r>
        <w:rPr>
          <w:rFonts w:ascii="Times New Roman" w:eastAsia="Times New Roman" w:hAnsi="Times New Roman" w:cs="Times New Roman"/>
        </w:rPr>
        <w:t xml:space="preserve"> В некоторых позициях меню (например, лепешках тортилья и овощных гарнирах) концентрация падает на 50% уже в первый год. </w:t>
      </w:r>
      <w:r w:rsidRPr="00594D93">
        <w:rPr>
          <w:rFonts w:ascii="Times New Roman" w:eastAsia="Times New Roman" w:hAnsi="Times New Roman" w:cs="Times New Roman"/>
          <w:i/>
          <w:iCs/>
          <w:lang w:val="en-US"/>
        </w:rPr>
        <w:t>(</w:t>
      </w:r>
      <w:r>
        <w:rPr>
          <w:rFonts w:ascii="Times New Roman" w:eastAsia="Times New Roman" w:hAnsi="Times New Roman" w:cs="Times New Roman"/>
          <w:i/>
          <w:iCs/>
        </w:rPr>
        <w:t>Источник</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данных</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Национальная</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медицинская</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библиотека</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США</w:t>
      </w:r>
      <w:r w:rsidRPr="00594D93">
        <w:rPr>
          <w:rFonts w:ascii="Times New Roman" w:eastAsia="Times New Roman" w:hAnsi="Times New Roman" w:cs="Times New Roman"/>
          <w:i/>
          <w:iCs/>
          <w:lang w:val="en-US"/>
        </w:rPr>
        <w:t xml:space="preserve"> (NCBI), "Initial assessment of the nutritional quality of the space food system over three years of ambient storage" —</w:t>
      </w:r>
      <w:hyperlink r:id="rId5">
        <w:r w:rsidRPr="00594D93">
          <w:rPr>
            <w:rFonts w:ascii="Times New Roman" w:eastAsia="Times New Roman" w:hAnsi="Times New Roman" w:cs="Times New Roman"/>
            <w:i/>
            <w:iCs/>
            <w:lang w:val="en-US"/>
          </w:rPr>
          <w:t xml:space="preserve"> </w:t>
        </w:r>
      </w:hyperlink>
      <w:hyperlink r:id="rId6">
        <w:r w:rsidRPr="00594D93">
          <w:rPr>
            <w:rFonts w:ascii="Times New Roman" w:eastAsia="Times New Roman" w:hAnsi="Times New Roman" w:cs="Times New Roman"/>
            <w:i/>
            <w:iCs/>
            <w:color w:val="1155CC"/>
            <w:u w:val="single"/>
            <w:lang w:val="en-US"/>
          </w:rPr>
          <w:t>https://pmc.ncbi.nlm.nih.gov/articles/PMC5466603/</w:t>
        </w:r>
      </w:hyperlink>
      <w:r w:rsidRPr="00594D93">
        <w:rPr>
          <w:rFonts w:ascii="Times New Roman" w:eastAsia="Times New Roman" w:hAnsi="Times New Roman" w:cs="Times New Roman"/>
          <w:i/>
          <w:iCs/>
          <w:lang w:val="en-US"/>
        </w:rPr>
        <w:t>)</w:t>
      </w:r>
    </w:p>
    <w:p w14:paraId="24085246" w14:textId="77777777" w:rsidR="003014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Более того, изначальная агрессивная термическая обработка (стерилизация) приводит к тому, что концентрации витамина К, калия и кальция в космических пайках стабильно оказываются на 13–20% ниже физиологической нормы космонавта.</w:t>
      </w:r>
    </w:p>
    <w:p w14:paraId="6E491A4C" w14:textId="77777777" w:rsidR="0030148E" w:rsidRPr="00594D93" w:rsidRDefault="00000000">
      <w:pPr>
        <w:spacing w:before="240" w:after="240"/>
        <w:jc w:val="both"/>
        <w:rPr>
          <w:rFonts w:ascii="Times New Roman" w:eastAsia="Times New Roman" w:hAnsi="Times New Roman" w:cs="Times New Roman"/>
          <w:i/>
          <w:iCs/>
          <w:lang w:val="en-US"/>
        </w:rPr>
      </w:pPr>
      <w:r>
        <w:rPr>
          <w:rFonts w:ascii="Times New Roman" w:eastAsia="Times New Roman" w:hAnsi="Times New Roman" w:cs="Times New Roman"/>
        </w:rPr>
        <w:t xml:space="preserve">Этот дефицит (в первую очередь витамина К и кальция) опасен для опорно-двигательного аппарата. Медицинские данные NASA подтверждают, что в условиях сниженной гравитации космонавты теряют от </w:t>
      </w:r>
      <w:r>
        <w:rPr>
          <w:rFonts w:ascii="Times New Roman" w:eastAsia="Times New Roman" w:hAnsi="Times New Roman" w:cs="Times New Roman"/>
          <w:b/>
          <w:bCs/>
        </w:rPr>
        <w:t>1% до 1.5% минеральной плотности костной ткани ежемесячно</w:t>
      </w:r>
      <w:r>
        <w:rPr>
          <w:rFonts w:ascii="Times New Roman" w:eastAsia="Times New Roman" w:hAnsi="Times New Roman" w:cs="Times New Roman"/>
        </w:rPr>
        <w:t xml:space="preserve">. </w:t>
      </w:r>
      <w:r w:rsidRPr="00594D93">
        <w:rPr>
          <w:rFonts w:ascii="Times New Roman" w:eastAsia="Times New Roman" w:hAnsi="Times New Roman" w:cs="Times New Roman"/>
          <w:i/>
          <w:iCs/>
          <w:lang w:val="en-US"/>
        </w:rPr>
        <w:t>(</w:t>
      </w:r>
      <w:r>
        <w:rPr>
          <w:rFonts w:ascii="Times New Roman" w:eastAsia="Times New Roman" w:hAnsi="Times New Roman" w:cs="Times New Roman"/>
          <w:i/>
          <w:iCs/>
        </w:rPr>
        <w:t>Источник</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данных</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Официальный</w:t>
      </w:r>
      <w:r w:rsidRPr="00594D93">
        <w:rPr>
          <w:rFonts w:ascii="Times New Roman" w:eastAsia="Times New Roman" w:hAnsi="Times New Roman" w:cs="Times New Roman"/>
          <w:i/>
          <w:iCs/>
          <w:lang w:val="en-US"/>
        </w:rPr>
        <w:t xml:space="preserve"> </w:t>
      </w:r>
      <w:r>
        <w:rPr>
          <w:rFonts w:ascii="Times New Roman" w:eastAsia="Times New Roman" w:hAnsi="Times New Roman" w:cs="Times New Roman"/>
          <w:i/>
          <w:iCs/>
        </w:rPr>
        <w:t>портал</w:t>
      </w:r>
      <w:r w:rsidRPr="00594D93">
        <w:rPr>
          <w:rFonts w:ascii="Times New Roman" w:eastAsia="Times New Roman" w:hAnsi="Times New Roman" w:cs="Times New Roman"/>
          <w:i/>
          <w:iCs/>
          <w:lang w:val="en-US"/>
        </w:rPr>
        <w:t xml:space="preserve"> NASA, "Risk of Spaceflight-Induced Bone Changes" —</w:t>
      </w:r>
      <w:hyperlink r:id="rId7">
        <w:r w:rsidRPr="00594D93">
          <w:rPr>
            <w:rFonts w:ascii="Times New Roman" w:eastAsia="Times New Roman" w:hAnsi="Times New Roman" w:cs="Times New Roman"/>
            <w:i/>
            <w:iCs/>
            <w:lang w:val="en-US"/>
          </w:rPr>
          <w:t xml:space="preserve"> </w:t>
        </w:r>
      </w:hyperlink>
      <w:hyperlink r:id="rId8">
        <w:r w:rsidRPr="00594D93">
          <w:rPr>
            <w:rFonts w:ascii="Times New Roman" w:eastAsia="Times New Roman" w:hAnsi="Times New Roman" w:cs="Times New Roman"/>
            <w:i/>
            <w:iCs/>
            <w:color w:val="1155CC"/>
            <w:u w:val="single"/>
            <w:lang w:val="en-US"/>
          </w:rPr>
          <w:t>https://www.nasa.gov/reference/risk-of-spaceflight-induced-bone-changes/</w:t>
        </w:r>
      </w:hyperlink>
      <w:r w:rsidRPr="00594D93">
        <w:rPr>
          <w:rFonts w:ascii="Times New Roman" w:eastAsia="Times New Roman" w:hAnsi="Times New Roman" w:cs="Times New Roman"/>
          <w:i/>
          <w:iCs/>
          <w:lang w:val="en-US"/>
        </w:rPr>
        <w:t>)</w:t>
      </w:r>
    </w:p>
    <w:p w14:paraId="0582D1C5" w14:textId="77777777" w:rsidR="003014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Синтетические витаминно-минеральные комплексы (БАДы) не могут решить эту проблему. Изолированные витамины обладают сниженной биодоступностью, так как усваиваются значительно хуже природных аналогов, работающих в растительной матрице совместно с клетчаткой и энзимами.</w:t>
      </w:r>
    </w:p>
    <w:p w14:paraId="06B6254C" w14:textId="77777777" w:rsidR="0030148E" w:rsidRDefault="00000000">
      <w:pPr>
        <w:pStyle w:val="4"/>
        <w:keepNext w:val="0"/>
        <w:keepLines w:val="0"/>
        <w:spacing w:before="240" w:after="40"/>
        <w:jc w:val="both"/>
        <w:rPr>
          <w:rFonts w:ascii="Times New Roman" w:eastAsia="Times New Roman" w:hAnsi="Times New Roman" w:cs="Times New Roman"/>
          <w:b/>
          <w:bCs/>
          <w:color w:val="000000"/>
          <w:sz w:val="22"/>
          <w:szCs w:val="22"/>
        </w:rPr>
      </w:pPr>
      <w:bookmarkStart w:id="4" w:name="_7kqxag532nco" w:colFirst="0" w:colLast="0"/>
      <w:bookmarkEnd w:id="4"/>
      <w:r>
        <w:rPr>
          <w:rFonts w:ascii="Times New Roman" w:eastAsia="Times New Roman" w:hAnsi="Times New Roman" w:cs="Times New Roman"/>
          <w:b/>
          <w:bCs/>
          <w:color w:val="000000"/>
          <w:sz w:val="22"/>
          <w:szCs w:val="22"/>
        </w:rPr>
        <w:t>2.2. Синдром «пищевой усталости»</w:t>
      </w:r>
    </w:p>
    <w:p w14:paraId="14C186F7" w14:textId="77777777" w:rsidR="003014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Вторая фундаментальная угроза длительных миссий — нейропсихологическая. В условиях микрогравитации жидкости в теле перераспределяются, что вызывает отек слизистых и меняет чувствительность обонятельных и вкусовых рецепторов.</w:t>
      </w:r>
    </w:p>
    <w:p w14:paraId="5F63679A" w14:textId="77777777" w:rsidR="0030148E" w:rsidRDefault="00000000">
      <w:pPr>
        <w:spacing w:before="240" w:after="240"/>
        <w:jc w:val="both"/>
        <w:rPr>
          <w:rFonts w:ascii="Times New Roman" w:eastAsia="Times New Roman" w:hAnsi="Times New Roman" w:cs="Times New Roman"/>
          <w:i/>
          <w:iCs/>
        </w:rPr>
      </w:pPr>
      <w:r>
        <w:rPr>
          <w:rFonts w:ascii="Times New Roman" w:eastAsia="Times New Roman" w:hAnsi="Times New Roman" w:cs="Times New Roman"/>
        </w:rPr>
        <w:t xml:space="preserve">Длительное употребление консервированной пищи (даже при наличии 200 позиций в меню МКС) неизбежно вызывает так называемую </w:t>
      </w:r>
      <w:r>
        <w:rPr>
          <w:rFonts w:ascii="Times New Roman" w:eastAsia="Times New Roman" w:hAnsi="Times New Roman" w:cs="Times New Roman"/>
          <w:b/>
          <w:bCs/>
        </w:rPr>
        <w:t>«пищевую усталость»</w:t>
      </w:r>
      <w:r>
        <w:rPr>
          <w:rFonts w:ascii="Times New Roman" w:eastAsia="Times New Roman" w:hAnsi="Times New Roman" w:cs="Times New Roman"/>
        </w:rPr>
        <w:t xml:space="preserve">. Сублимированные продукты теряют текстурную и вкусовую привлекательность. Как отмечают ученые Advanced Food Technology </w:t>
      </w:r>
      <w:proofErr w:type="spellStart"/>
      <w:r>
        <w:rPr>
          <w:rFonts w:ascii="Times New Roman" w:eastAsia="Times New Roman" w:hAnsi="Times New Roman" w:cs="Times New Roman"/>
        </w:rPr>
        <w:t>project</w:t>
      </w:r>
      <w:proofErr w:type="spellEnd"/>
      <w:r>
        <w:rPr>
          <w:rFonts w:ascii="Times New Roman" w:eastAsia="Times New Roman" w:hAnsi="Times New Roman" w:cs="Times New Roman"/>
        </w:rPr>
        <w:t xml:space="preserve"> NASA, потеря пищевого интереса приводит к тому, что экипаж систематически недополучает калории, что провоцирует опасную потерю массы тела, истощение и падение иммунитета. </w:t>
      </w:r>
      <w:r>
        <w:rPr>
          <w:rFonts w:ascii="Times New Roman" w:eastAsia="Times New Roman" w:hAnsi="Times New Roman" w:cs="Times New Roman"/>
          <w:i/>
          <w:iCs/>
        </w:rPr>
        <w:t>(Источники данных: Отчет NASA "</w:t>
      </w:r>
      <w:proofErr w:type="spellStart"/>
      <w:r>
        <w:rPr>
          <w:rFonts w:ascii="Times New Roman" w:eastAsia="Times New Roman" w:hAnsi="Times New Roman" w:cs="Times New Roman"/>
          <w:i/>
          <w:iCs/>
        </w:rPr>
        <w:t>How</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Does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Spaceflight</w:t>
      </w:r>
      <w:proofErr w:type="spellEnd"/>
      <w:r>
        <w:rPr>
          <w:rFonts w:ascii="Times New Roman" w:eastAsia="Times New Roman" w:hAnsi="Times New Roman" w:cs="Times New Roman"/>
          <w:i/>
          <w:iCs/>
        </w:rPr>
        <w:t xml:space="preserve"> Change Food </w:t>
      </w:r>
      <w:proofErr w:type="spellStart"/>
      <w:r>
        <w:rPr>
          <w:rFonts w:ascii="Times New Roman" w:eastAsia="Times New Roman" w:hAnsi="Times New Roman" w:cs="Times New Roman"/>
          <w:i/>
          <w:iCs/>
        </w:rPr>
        <w:t>Appeal</w:t>
      </w:r>
      <w:proofErr w:type="spellEnd"/>
      <w:r>
        <w:rPr>
          <w:rFonts w:ascii="Times New Roman" w:eastAsia="Times New Roman" w:hAnsi="Times New Roman" w:cs="Times New Roman"/>
          <w:i/>
          <w:iCs/>
        </w:rPr>
        <w:t>?" —</w:t>
      </w:r>
      <w:hyperlink r:id="rId9">
        <w:r>
          <w:rPr>
            <w:rFonts w:ascii="Times New Roman" w:eastAsia="Times New Roman" w:hAnsi="Times New Roman" w:cs="Times New Roman"/>
            <w:i/>
            <w:iCs/>
          </w:rPr>
          <w:t xml:space="preserve"> </w:t>
        </w:r>
      </w:hyperlink>
      <w:hyperlink r:id="rId10">
        <w:r>
          <w:rPr>
            <w:rFonts w:ascii="Times New Roman" w:eastAsia="Times New Roman" w:hAnsi="Times New Roman" w:cs="Times New Roman"/>
            <w:i/>
            <w:iCs/>
            <w:color w:val="1155CC"/>
            <w:u w:val="single"/>
          </w:rPr>
          <w:t>https://www.nasa.gov/humans-in-space/how-does-spaceflight-change-food-appeal/</w:t>
        </w:r>
      </w:hyperlink>
      <w:r>
        <w:rPr>
          <w:rFonts w:ascii="Times New Roman" w:eastAsia="Times New Roman" w:hAnsi="Times New Roman" w:cs="Times New Roman"/>
          <w:i/>
          <w:iCs/>
        </w:rPr>
        <w:t xml:space="preserve"> ; Исследование Мельбурнского университета —</w:t>
      </w:r>
      <w:hyperlink r:id="rId11">
        <w:r>
          <w:rPr>
            <w:rFonts w:ascii="Times New Roman" w:eastAsia="Times New Roman" w:hAnsi="Times New Roman" w:cs="Times New Roman"/>
            <w:i/>
            <w:iCs/>
          </w:rPr>
          <w:t xml:space="preserve"> </w:t>
        </w:r>
      </w:hyperlink>
      <w:hyperlink r:id="rId12">
        <w:r>
          <w:rPr>
            <w:rFonts w:ascii="Times New Roman" w:eastAsia="Times New Roman" w:hAnsi="Times New Roman" w:cs="Times New Roman"/>
            <w:i/>
            <w:iCs/>
            <w:color w:val="1155CC"/>
            <w:u w:val="single"/>
          </w:rPr>
          <w:t>https://pursuit.unimelb.edu.au/articles/why-do-food-and-drink-taste-different-in-space</w:t>
        </w:r>
      </w:hyperlink>
      <w:r>
        <w:rPr>
          <w:rFonts w:ascii="Times New Roman" w:eastAsia="Times New Roman" w:hAnsi="Times New Roman" w:cs="Times New Roman"/>
          <w:i/>
          <w:iCs/>
        </w:rPr>
        <w:t>)</w:t>
      </w:r>
    </w:p>
    <w:p w14:paraId="038A6FCB" w14:textId="77777777" w:rsidR="0030148E" w:rsidRDefault="00000000">
      <w:pPr>
        <w:pStyle w:val="4"/>
        <w:keepNext w:val="0"/>
        <w:keepLines w:val="0"/>
        <w:spacing w:before="240" w:after="40"/>
        <w:jc w:val="both"/>
        <w:rPr>
          <w:rFonts w:ascii="Times New Roman" w:eastAsia="Times New Roman" w:hAnsi="Times New Roman" w:cs="Times New Roman"/>
          <w:b/>
          <w:bCs/>
          <w:color w:val="000000"/>
          <w:sz w:val="22"/>
          <w:szCs w:val="22"/>
        </w:rPr>
      </w:pPr>
      <w:bookmarkStart w:id="5" w:name="_g9lb3u5e3vyb" w:colFirst="0" w:colLast="0"/>
      <w:bookmarkEnd w:id="5"/>
      <w:r>
        <w:rPr>
          <w:rFonts w:ascii="Times New Roman" w:eastAsia="Times New Roman" w:hAnsi="Times New Roman" w:cs="Times New Roman"/>
          <w:b/>
          <w:bCs/>
          <w:color w:val="000000"/>
          <w:sz w:val="22"/>
          <w:szCs w:val="22"/>
        </w:rPr>
        <w:t xml:space="preserve">Вывод: Клиническая необходимость </w:t>
      </w:r>
      <w:proofErr w:type="spellStart"/>
      <w:r>
        <w:rPr>
          <w:rFonts w:ascii="Times New Roman" w:eastAsia="Times New Roman" w:hAnsi="Times New Roman" w:cs="Times New Roman"/>
          <w:b/>
          <w:bCs/>
          <w:color w:val="000000"/>
          <w:sz w:val="22"/>
          <w:szCs w:val="22"/>
        </w:rPr>
        <w:t>аэропонной</w:t>
      </w:r>
      <w:proofErr w:type="spellEnd"/>
      <w:r>
        <w:rPr>
          <w:rFonts w:ascii="Times New Roman" w:eastAsia="Times New Roman" w:hAnsi="Times New Roman" w:cs="Times New Roman"/>
          <w:b/>
          <w:bCs/>
          <w:color w:val="000000"/>
          <w:sz w:val="22"/>
          <w:szCs w:val="22"/>
        </w:rPr>
        <w:t xml:space="preserve"> биомассы</w:t>
      </w:r>
    </w:p>
    <w:p w14:paraId="70EF60FC" w14:textId="77777777" w:rsidR="0030148E"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Включение в рацион </w:t>
      </w:r>
      <w:proofErr w:type="spellStart"/>
      <w:r>
        <w:rPr>
          <w:rFonts w:ascii="Times New Roman" w:eastAsia="Times New Roman" w:hAnsi="Times New Roman" w:cs="Times New Roman"/>
        </w:rPr>
        <w:t>свежевыращенной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аэропонной</w:t>
      </w:r>
      <w:proofErr w:type="spellEnd"/>
      <w:r>
        <w:rPr>
          <w:rFonts w:ascii="Times New Roman" w:eastAsia="Times New Roman" w:hAnsi="Times New Roman" w:cs="Times New Roman"/>
        </w:rPr>
        <w:t xml:space="preserve"> фитомассы — это не просто гастрономическое удовольствие, а безальтернативный клинический инструмент жизнеобеспечения. Свежие, хрустящие листья </w:t>
      </w:r>
      <w:proofErr w:type="spellStart"/>
      <w:r>
        <w:rPr>
          <w:rFonts w:ascii="Times New Roman" w:eastAsia="Times New Roman" w:hAnsi="Times New Roman" w:cs="Times New Roman"/>
          <w:b/>
          <w:bCs/>
        </w:rPr>
        <w:t>кейла</w:t>
      </w:r>
      <w:proofErr w:type="spellEnd"/>
      <w:r>
        <w:rPr>
          <w:rFonts w:ascii="Times New Roman" w:eastAsia="Times New Roman" w:hAnsi="Times New Roman" w:cs="Times New Roman"/>
        </w:rPr>
        <w:t xml:space="preserve"> и </w:t>
      </w:r>
      <w:r>
        <w:rPr>
          <w:rFonts w:ascii="Times New Roman" w:eastAsia="Times New Roman" w:hAnsi="Times New Roman" w:cs="Times New Roman"/>
          <w:b/>
          <w:bCs/>
        </w:rPr>
        <w:t>мангольда</w:t>
      </w:r>
      <w:r>
        <w:rPr>
          <w:rFonts w:ascii="Times New Roman" w:eastAsia="Times New Roman" w:hAnsi="Times New Roman" w:cs="Times New Roman"/>
        </w:rPr>
        <w:t xml:space="preserve">, а также высокая концентрация эфирных масел в </w:t>
      </w:r>
      <w:r>
        <w:rPr>
          <w:rFonts w:ascii="Times New Roman" w:eastAsia="Times New Roman" w:hAnsi="Times New Roman" w:cs="Times New Roman"/>
          <w:b/>
          <w:bCs/>
        </w:rPr>
        <w:t>базилике</w:t>
      </w:r>
      <w:r>
        <w:rPr>
          <w:rFonts w:ascii="Times New Roman" w:eastAsia="Times New Roman" w:hAnsi="Times New Roman" w:cs="Times New Roman"/>
        </w:rPr>
        <w:t xml:space="preserve"> обеспечивают мощную </w:t>
      </w:r>
      <w:proofErr w:type="spellStart"/>
      <w:r>
        <w:rPr>
          <w:rFonts w:ascii="Times New Roman" w:eastAsia="Times New Roman" w:hAnsi="Times New Roman" w:cs="Times New Roman"/>
        </w:rPr>
        <w:t>ольфакторную</w:t>
      </w:r>
      <w:proofErr w:type="spellEnd"/>
      <w:r>
        <w:rPr>
          <w:rFonts w:ascii="Times New Roman" w:eastAsia="Times New Roman" w:hAnsi="Times New Roman" w:cs="Times New Roman"/>
        </w:rPr>
        <w:t xml:space="preserve"> (обонятельную) и текстурную стимуляцию. Это физиологически «перезагружает» рецепторы космонавтов, преодолевает вкусовую апатию и стимулирует активную выработку пищеварительных ферментов. Одновременно с этим локальное выращивание гарантирует экипажу поставку 100% </w:t>
      </w:r>
      <w:proofErr w:type="spellStart"/>
      <w:r>
        <w:rPr>
          <w:rFonts w:ascii="Times New Roman" w:eastAsia="Times New Roman" w:hAnsi="Times New Roman" w:cs="Times New Roman"/>
        </w:rPr>
        <w:t>биодоступных</w:t>
      </w:r>
      <w:proofErr w:type="spellEnd"/>
      <w:r>
        <w:rPr>
          <w:rFonts w:ascii="Times New Roman" w:eastAsia="Times New Roman" w:hAnsi="Times New Roman" w:cs="Times New Roman"/>
        </w:rPr>
        <w:t>, не деградировавших от времени витаминов C и K, останавливая разрушение костной ткани и поддерживая метаболический гомеостаз.</w:t>
      </w:r>
    </w:p>
    <w:p w14:paraId="2A68A420" w14:textId="77777777" w:rsidR="0030148E" w:rsidRDefault="00000000">
      <w:pPr>
        <w:pStyle w:val="3"/>
        <w:keepNext w:val="0"/>
        <w:keepLines w:val="0"/>
        <w:spacing w:before="0" w:after="40"/>
        <w:jc w:val="both"/>
        <w:rPr>
          <w:rFonts w:ascii="Times New Roman" w:eastAsia="Times New Roman" w:hAnsi="Times New Roman" w:cs="Times New Roman"/>
        </w:rPr>
      </w:pPr>
      <w:bookmarkStart w:id="6" w:name="_xv05r2j0qp5m" w:colFirst="0" w:colLast="0"/>
      <w:bookmarkEnd w:id="6"/>
      <w:r>
        <w:rPr>
          <w:rFonts w:ascii="Times New Roman" w:eastAsia="Times New Roman" w:hAnsi="Times New Roman" w:cs="Times New Roman"/>
        </w:rPr>
        <w:t>3. Сравнительный анализ сельскохозяйственных культур</w:t>
      </w:r>
    </w:p>
    <w:p w14:paraId="0B6D2DC7"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Для определения оптимального состава фитомассы был проведен многофакторный анализ 15 видов листовых культур. Оценка проводилась по целевым показателям электропроводности (EC), потреблению NPK, требованиям к освещенности (PPFD) и концентрации критических микронутриентов.</w:t>
      </w:r>
    </w:p>
    <w:p w14:paraId="7681F013" w14:textId="77777777" w:rsidR="0030148E" w:rsidRDefault="00000000">
      <w:pPr>
        <w:spacing w:after="24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Таблица 1. Матрица </w:t>
      </w:r>
      <w:proofErr w:type="spellStart"/>
      <w:r>
        <w:rPr>
          <w:rFonts w:ascii="Times New Roman" w:eastAsia="Times New Roman" w:hAnsi="Times New Roman" w:cs="Times New Roman"/>
          <w:b/>
          <w:bCs/>
        </w:rPr>
        <w:t>нутриентного</w:t>
      </w:r>
      <w:proofErr w:type="spellEnd"/>
      <w:r>
        <w:rPr>
          <w:rFonts w:ascii="Times New Roman" w:eastAsia="Times New Roman" w:hAnsi="Times New Roman" w:cs="Times New Roman"/>
          <w:b/>
          <w:bCs/>
        </w:rPr>
        <w:t xml:space="preserve"> и инженерного профиля культур</w:t>
      </w:r>
    </w:p>
    <w:tbl>
      <w:tblPr>
        <w:tblStyle w:val="a5"/>
        <w:tblW w:w="9025" w:type="dxa"/>
        <w:tblInd w:w="0" w:type="dxa"/>
        <w:tblLayout w:type="fixed"/>
        <w:tblLook w:val="0600" w:firstRow="0" w:lastRow="0" w:firstColumn="0" w:lastColumn="0" w:noHBand="1" w:noVBand="1"/>
      </w:tblPr>
      <w:tblGrid>
        <w:gridCol w:w="1207"/>
        <w:gridCol w:w="1013"/>
        <w:gridCol w:w="1057"/>
        <w:gridCol w:w="939"/>
        <w:gridCol w:w="614"/>
        <w:gridCol w:w="690"/>
        <w:gridCol w:w="668"/>
        <w:gridCol w:w="917"/>
        <w:gridCol w:w="1014"/>
        <w:gridCol w:w="906"/>
      </w:tblGrid>
      <w:tr w:rsidR="0030148E" w14:paraId="10FD2764" w14:textId="77777777">
        <w:trPr>
          <w:trHeight w:val="1365"/>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3FF5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Культура</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C8735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Целевой EC (</w:t>
            </w:r>
            <w:proofErr w:type="spellStart"/>
            <w:r>
              <w:rPr>
                <w:rFonts w:ascii="Times New Roman" w:eastAsia="Times New Roman" w:hAnsi="Times New Roman" w:cs="Times New Roman"/>
                <w:b/>
                <w:bCs/>
              </w:rPr>
              <w:t>мСм</w:t>
            </w:r>
            <w:proofErr w:type="spellEnd"/>
            <w:r>
              <w:rPr>
                <w:rFonts w:ascii="Times New Roman" w:eastAsia="Times New Roman" w:hAnsi="Times New Roman" w:cs="Times New Roman"/>
                <w:b/>
                <w:bCs/>
              </w:rPr>
              <w:t>/см)</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FEBC3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NPK профиль</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88108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PPFD (</w:t>
            </w:r>
            <w:proofErr w:type="spellStart"/>
            <w:r>
              <w:rPr>
                <w:rFonts w:ascii="Times New Roman" w:eastAsia="Times New Roman" w:hAnsi="Times New Roman" w:cs="Times New Roman"/>
                <w:b/>
                <w:bCs/>
              </w:rPr>
              <w:t>μмоль</w:t>
            </w:r>
            <w:proofErr w:type="spellEnd"/>
            <w:r>
              <w:rPr>
                <w:rFonts w:ascii="Times New Roman" w:eastAsia="Times New Roman" w:hAnsi="Times New Roman" w:cs="Times New Roman"/>
                <w:b/>
                <w:bCs/>
              </w:rPr>
              <w:t>)</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EF6D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Вит. С (мг)</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164B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Вит. А (мкг RAE)</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02621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Вит. K (мкг)</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7974A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Железо (мг)</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E01C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Кальций (мг)</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168BC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Магний (мг)</w:t>
            </w:r>
          </w:p>
        </w:tc>
      </w:tr>
      <w:tr w:rsidR="0030148E" w14:paraId="505223C2"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DCCF7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Кейл</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10D609"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EFF91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35230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8CCA3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120</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3736B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500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AD8E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817</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A1033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45BC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408C4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33</w:t>
            </w:r>
          </w:p>
        </w:tc>
      </w:tr>
      <w:tr w:rsidR="0030148E" w14:paraId="14A9B9DE"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32AA8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Базилик</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C41FB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1.8</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04A1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16-10-20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28876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DED22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18</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21A3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264</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253C6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415</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89FAE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3.2</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6C3DF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177</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9163A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64</w:t>
            </w:r>
          </w:p>
        </w:tc>
      </w:tr>
      <w:tr w:rsidR="0030148E" w14:paraId="7F3196C1"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C413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Мангольд</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6E53A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8B75B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2F139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0E7CB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D3468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306</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699C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830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85C86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1.8</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66B75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51</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95783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81</w:t>
            </w:r>
          </w:p>
        </w:tc>
      </w:tr>
      <w:tr w:rsidR="0030148E" w14:paraId="0B6EA235"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15839"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Шпинат</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2465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25ED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16-10-20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C232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DAE5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28</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552BC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469</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7D164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483</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DA43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2.7</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107B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99</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2443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79</w:t>
            </w:r>
          </w:p>
        </w:tc>
      </w:tr>
      <w:tr w:rsidR="0030148E" w14:paraId="7C480E82"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518AA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Петрушка</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40A90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A1E15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4D9D7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FC60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133</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D2A4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421</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AB11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1640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7AE8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6.2</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EEF9E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138</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53D9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50</w:t>
            </w:r>
          </w:p>
        </w:tc>
      </w:tr>
      <w:tr w:rsidR="0030148E" w14:paraId="248F8517"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6196D2" w14:textId="77777777" w:rsidR="0030148E" w:rsidRDefault="00000000">
            <w:pPr>
              <w:spacing w:after="480"/>
              <w:jc w:val="both"/>
              <w:rPr>
                <w:rFonts w:ascii="Times New Roman" w:eastAsia="Times New Roman" w:hAnsi="Times New Roman" w:cs="Times New Roman"/>
              </w:rPr>
            </w:pPr>
            <w:proofErr w:type="spellStart"/>
            <w:r>
              <w:rPr>
                <w:rFonts w:ascii="Times New Roman" w:eastAsia="Times New Roman" w:hAnsi="Times New Roman" w:cs="Times New Roman"/>
                <w:b/>
                <w:bCs/>
              </w:rPr>
              <w:t>Мизуна</w:t>
            </w:r>
            <w:proofErr w:type="spellEnd"/>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3F16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09A5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1CDB1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EAF2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40</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62D0F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7BDD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39E13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815F6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110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35F89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r>
      <w:tr w:rsidR="0030148E" w14:paraId="2BDBB559"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F185F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Укроп</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D40E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1.7</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A0A90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13EB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4FF62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85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A22F5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380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0321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390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F843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6.6</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D0DBB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208</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B021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55</w:t>
            </w:r>
          </w:p>
        </w:tc>
      </w:tr>
      <w:tr w:rsidR="0030148E" w14:paraId="3B3ED13F"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C8E96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Горчица</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AE041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05FC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15-10-20</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7BC6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92693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70</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C5C79"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D4457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A4A0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6362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105</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0725B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33</w:t>
            </w:r>
          </w:p>
        </w:tc>
      </w:tr>
      <w:tr w:rsidR="0030148E" w14:paraId="598FB00D"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EE29B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lastRenderedPageBreak/>
              <w:t>Рукола</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C3246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59466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14-10-18</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EFEC2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44BB6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794F9"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119</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7AF3D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109</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E961B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565E7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160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72721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47</w:t>
            </w:r>
          </w:p>
        </w:tc>
      </w:tr>
      <w:tr w:rsidR="0030148E" w14:paraId="23618B92"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61B88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Ромэн</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F078F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5D93D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12-8-15</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D7F7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0FC25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24</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9F295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436</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2E9F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102</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69B5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0.9</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1361E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33</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FC55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w:t>
            </w:r>
          </w:p>
        </w:tc>
      </w:tr>
      <w:tr w:rsidR="0030148E" w14:paraId="5AFD544B" w14:textId="77777777">
        <w:trPr>
          <w:trHeight w:val="81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341D07" w14:textId="77777777" w:rsidR="0030148E" w:rsidRDefault="00000000">
            <w:pPr>
              <w:spacing w:after="480"/>
              <w:jc w:val="both"/>
              <w:rPr>
                <w:rFonts w:ascii="Times New Roman" w:eastAsia="Times New Roman" w:hAnsi="Times New Roman" w:cs="Times New Roman"/>
              </w:rPr>
            </w:pPr>
            <w:proofErr w:type="spellStart"/>
            <w:r>
              <w:rPr>
                <w:rFonts w:ascii="Times New Roman" w:eastAsia="Times New Roman" w:hAnsi="Times New Roman" w:cs="Times New Roman"/>
                <w:b/>
                <w:bCs/>
              </w:rPr>
              <w:t>Лолло</w:t>
            </w:r>
            <w:proofErr w:type="spellEnd"/>
            <w:r>
              <w:rPr>
                <w:rFonts w:ascii="Times New Roman" w:eastAsia="Times New Roman" w:hAnsi="Times New Roman" w:cs="Times New Roman"/>
                <w:b/>
                <w:bCs/>
              </w:rPr>
              <w:t xml:space="preserve"> Росса</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4A903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8ADBB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12-8-15</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1B66C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439B3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6778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445B4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140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E4F1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DDFEB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30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0F9D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r>
      <w:tr w:rsidR="0030148E" w14:paraId="3D499613"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979B0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Цикорные</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28CC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80254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12-8-15</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2222D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250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9EEE4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86D9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020CF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15</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B8D738"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0.8</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25579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9ED476"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r>
      <w:tr w:rsidR="0030148E" w14:paraId="03CC3D2C"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0F1D4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b/>
                <w:bCs/>
              </w:rPr>
              <w:t>Адамант</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E25C5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FC8C7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10-8-12</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62A9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BCCFE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7FA93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8C02A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E2EF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0.5</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6D587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845D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r>
      <w:tr w:rsidR="0030148E" w14:paraId="29A8B30A"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38252" w14:textId="77777777" w:rsidR="0030148E" w:rsidRDefault="00000000">
            <w:pPr>
              <w:spacing w:after="480"/>
              <w:jc w:val="both"/>
              <w:rPr>
                <w:rFonts w:ascii="Times New Roman" w:eastAsia="Times New Roman" w:hAnsi="Times New Roman" w:cs="Times New Roman"/>
              </w:rPr>
            </w:pPr>
            <w:proofErr w:type="spellStart"/>
            <w:r>
              <w:rPr>
                <w:rFonts w:ascii="Times New Roman" w:eastAsia="Times New Roman" w:hAnsi="Times New Roman" w:cs="Times New Roman"/>
                <w:b/>
                <w:bCs/>
              </w:rPr>
              <w:t>Дубачек</w:t>
            </w:r>
            <w:proofErr w:type="spellEnd"/>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BB6C9E"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42A14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10-8-12</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2A76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4D804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3FC7F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E6246C"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0FFBBB"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0.5</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390D20"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B96D7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r>
      <w:tr w:rsidR="0030148E" w14:paraId="0C3AAAD1" w14:textId="77777777">
        <w:trPr>
          <w:trHeight w:val="540"/>
        </w:trPr>
        <w:tc>
          <w:tcPr>
            <w:tcW w:w="12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94D71" w14:textId="77777777" w:rsidR="0030148E" w:rsidRDefault="00000000">
            <w:pPr>
              <w:spacing w:after="480"/>
              <w:jc w:val="both"/>
              <w:rPr>
                <w:rFonts w:ascii="Times New Roman" w:eastAsia="Times New Roman" w:hAnsi="Times New Roman" w:cs="Times New Roman"/>
              </w:rPr>
            </w:pPr>
            <w:proofErr w:type="spellStart"/>
            <w:r>
              <w:rPr>
                <w:rFonts w:ascii="Times New Roman" w:eastAsia="Times New Roman" w:hAnsi="Times New Roman" w:cs="Times New Roman"/>
                <w:b/>
                <w:bCs/>
              </w:rPr>
              <w:t>Анапчанин</w:t>
            </w:r>
            <w:proofErr w:type="spellEnd"/>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CB47A"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c>
          <w:tcPr>
            <w:tcW w:w="10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B490A7"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10-8-12</w:t>
            </w:r>
          </w:p>
        </w:tc>
        <w:tc>
          <w:tcPr>
            <w:tcW w:w="9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E1275"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200</w:t>
            </w:r>
          </w:p>
        </w:tc>
        <w:tc>
          <w:tcPr>
            <w:tcW w:w="6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B710C2"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w:t>
            </w:r>
          </w:p>
        </w:tc>
        <w:tc>
          <w:tcPr>
            <w:tcW w:w="6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0ABEDD"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50</w:t>
            </w:r>
          </w:p>
        </w:tc>
        <w:tc>
          <w:tcPr>
            <w:tcW w:w="6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48FCB3"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1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345C1"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0.5</w:t>
            </w:r>
          </w:p>
        </w:tc>
        <w:tc>
          <w:tcPr>
            <w:tcW w:w="10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67D814"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20</w:t>
            </w:r>
          </w:p>
        </w:tc>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D93E5F" w14:textId="77777777" w:rsidR="0030148E" w:rsidRDefault="00000000">
            <w:pPr>
              <w:spacing w:after="480"/>
              <w:jc w:val="both"/>
              <w:rPr>
                <w:rFonts w:ascii="Times New Roman" w:eastAsia="Times New Roman" w:hAnsi="Times New Roman" w:cs="Times New Roman"/>
              </w:rPr>
            </w:pPr>
            <w:r>
              <w:rPr>
                <w:rFonts w:ascii="Times New Roman" w:eastAsia="Times New Roman" w:hAnsi="Times New Roman" w:cs="Times New Roman"/>
              </w:rPr>
              <w:t>10</w:t>
            </w:r>
          </w:p>
        </w:tc>
      </w:tr>
    </w:tbl>
    <w:p w14:paraId="41B7C168" w14:textId="77777777" w:rsidR="0030148E" w:rsidRDefault="0030148E">
      <w:pPr>
        <w:pStyle w:val="4"/>
        <w:keepNext w:val="0"/>
        <w:keepLines w:val="0"/>
        <w:spacing w:before="0" w:after="40"/>
        <w:jc w:val="both"/>
        <w:rPr>
          <w:rFonts w:ascii="Times New Roman" w:eastAsia="Times New Roman" w:hAnsi="Times New Roman" w:cs="Times New Roman"/>
          <w:b/>
          <w:bCs/>
          <w:color w:val="000000"/>
          <w:sz w:val="22"/>
          <w:szCs w:val="22"/>
        </w:rPr>
      </w:pPr>
      <w:bookmarkStart w:id="7" w:name="_jb63t8b0mqp3" w:colFirst="0" w:colLast="0"/>
      <w:bookmarkEnd w:id="7"/>
    </w:p>
    <w:p w14:paraId="41839670" w14:textId="77777777" w:rsidR="0030148E" w:rsidRDefault="00000000">
      <w:pPr>
        <w:pStyle w:val="3"/>
        <w:keepNext w:val="0"/>
        <w:keepLines w:val="0"/>
        <w:spacing w:before="0" w:after="40"/>
        <w:jc w:val="both"/>
        <w:rPr>
          <w:rFonts w:ascii="Times New Roman" w:eastAsia="Times New Roman" w:hAnsi="Times New Roman" w:cs="Times New Roman"/>
        </w:rPr>
      </w:pPr>
      <w:bookmarkStart w:id="8" w:name="_y07d9qkhx35e" w:colFirst="0" w:colLast="0"/>
      <w:bookmarkEnd w:id="8"/>
      <w:r>
        <w:rPr>
          <w:rFonts w:ascii="Times New Roman" w:eastAsia="Times New Roman" w:hAnsi="Times New Roman" w:cs="Times New Roman"/>
        </w:rPr>
        <w:t>4. Обоснование выбора целевой триады (Кейл, Мангольд, Базилик)</w:t>
      </w:r>
    </w:p>
    <w:p w14:paraId="702F107D"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Анализ данных Таблицы 1 выявил неэффективность культивации водянистых салатов (Адамант, </w:t>
      </w:r>
      <w:proofErr w:type="spellStart"/>
      <w:r>
        <w:rPr>
          <w:rFonts w:ascii="Times New Roman" w:eastAsia="Times New Roman" w:hAnsi="Times New Roman" w:cs="Times New Roman"/>
        </w:rPr>
        <w:t>Дубачек</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Анапчанин</w:t>
      </w:r>
      <w:proofErr w:type="spellEnd"/>
      <w:r>
        <w:rPr>
          <w:rFonts w:ascii="Times New Roman" w:eastAsia="Times New Roman" w:hAnsi="Times New Roman" w:cs="Times New Roman"/>
        </w:rPr>
        <w:t xml:space="preserve">) из-за их низкой нутритивной плотности. Для </w:t>
      </w:r>
      <w:proofErr w:type="spellStart"/>
      <w:r>
        <w:rPr>
          <w:rFonts w:ascii="Times New Roman" w:eastAsia="Times New Roman" w:hAnsi="Times New Roman" w:cs="Times New Roman"/>
        </w:rPr>
        <w:t>аэропонной</w:t>
      </w:r>
      <w:proofErr w:type="spellEnd"/>
      <w:r>
        <w:rPr>
          <w:rFonts w:ascii="Times New Roman" w:eastAsia="Times New Roman" w:hAnsi="Times New Roman" w:cs="Times New Roman"/>
        </w:rPr>
        <w:t xml:space="preserve"> системы были окончательно выбраны Кейл, Мангольд и Базилик по следующим причинам:</w:t>
      </w:r>
    </w:p>
    <w:p w14:paraId="58988864" w14:textId="77777777" w:rsidR="0030148E" w:rsidRDefault="00000000">
      <w:pPr>
        <w:numPr>
          <w:ilvl w:val="0"/>
          <w:numId w:val="5"/>
        </w:numPr>
        <w:jc w:val="both"/>
      </w:pPr>
      <w:r>
        <w:rPr>
          <w:rFonts w:ascii="Times New Roman" w:eastAsia="Times New Roman" w:hAnsi="Times New Roman" w:cs="Times New Roman"/>
          <w:b/>
          <w:bCs/>
        </w:rPr>
        <w:t>Кейл</w:t>
      </w:r>
      <w:proofErr w:type="gramStart"/>
      <w:r>
        <w:rPr>
          <w:rFonts w:ascii="Times New Roman" w:eastAsia="Times New Roman" w:hAnsi="Times New Roman" w:cs="Times New Roman"/>
          <w:b/>
          <w:bCs/>
        </w:rPr>
        <w:t>:</w:t>
      </w:r>
      <w:r>
        <w:rPr>
          <w:rFonts w:ascii="Times New Roman" w:eastAsia="Times New Roman" w:hAnsi="Times New Roman" w:cs="Times New Roman"/>
        </w:rPr>
        <w:t xml:space="preserve"> Является</w:t>
      </w:r>
      <w:proofErr w:type="gramEnd"/>
      <w:r>
        <w:rPr>
          <w:rFonts w:ascii="Times New Roman" w:eastAsia="Times New Roman" w:hAnsi="Times New Roman" w:cs="Times New Roman"/>
        </w:rPr>
        <w:t xml:space="preserve"> признанным «суперфудом» с экстремально высоким содержанием витаминов K, A, C и антиоксидантов. Культура обладает высокой устойчивостью к перепадам внешних условий.</w:t>
      </w:r>
    </w:p>
    <w:p w14:paraId="6EB53D44" w14:textId="77777777" w:rsidR="0030148E" w:rsidRDefault="00000000">
      <w:pPr>
        <w:numPr>
          <w:ilvl w:val="0"/>
          <w:numId w:val="5"/>
        </w:numPr>
        <w:jc w:val="both"/>
      </w:pPr>
      <w:r>
        <w:rPr>
          <w:rFonts w:ascii="Times New Roman" w:eastAsia="Times New Roman" w:hAnsi="Times New Roman" w:cs="Times New Roman"/>
          <w:b/>
          <w:bCs/>
        </w:rPr>
        <w:t>Мангольд:</w:t>
      </w:r>
      <w:r>
        <w:rPr>
          <w:rFonts w:ascii="Times New Roman" w:eastAsia="Times New Roman" w:hAnsi="Times New Roman" w:cs="Times New Roman"/>
        </w:rPr>
        <w:t xml:space="preserve"> Листовая свекла, отличающаяся высокой концентрацией железа, магния и калия. Ее ключевое преимущество — высокая скорость регенерации листьев после частичного среза.</w:t>
      </w:r>
    </w:p>
    <w:p w14:paraId="39FC4AD8" w14:textId="77777777" w:rsidR="0030148E" w:rsidRDefault="00000000">
      <w:pPr>
        <w:numPr>
          <w:ilvl w:val="0"/>
          <w:numId w:val="5"/>
        </w:numPr>
        <w:spacing w:after="240"/>
        <w:jc w:val="both"/>
      </w:pPr>
      <w:r>
        <w:rPr>
          <w:rFonts w:ascii="Times New Roman" w:eastAsia="Times New Roman" w:hAnsi="Times New Roman" w:cs="Times New Roman"/>
          <w:b/>
          <w:bCs/>
        </w:rPr>
        <w:t>Базилик</w:t>
      </w:r>
      <w:proofErr w:type="gramStart"/>
      <w:r>
        <w:rPr>
          <w:rFonts w:ascii="Times New Roman" w:eastAsia="Times New Roman" w:hAnsi="Times New Roman" w:cs="Times New Roman"/>
          <w:b/>
          <w:bCs/>
        </w:rPr>
        <w:t>:</w:t>
      </w:r>
      <w:r>
        <w:rPr>
          <w:rFonts w:ascii="Times New Roman" w:eastAsia="Times New Roman" w:hAnsi="Times New Roman" w:cs="Times New Roman"/>
        </w:rPr>
        <w:t xml:space="preserve"> Выступает</w:t>
      </w:r>
      <w:proofErr w:type="gramEnd"/>
      <w:r>
        <w:rPr>
          <w:rFonts w:ascii="Times New Roman" w:eastAsia="Times New Roman" w:hAnsi="Times New Roman" w:cs="Times New Roman"/>
        </w:rPr>
        <w:t xml:space="preserve"> мощным источником эфирных масел, обладающих доказанными антибактериальными свойствами, что критически важно для стерильных условий станции. Помимо этого, базилик значительно улучшает вкусовые качества пресной сублимированной пищи.</w:t>
      </w:r>
    </w:p>
    <w:p w14:paraId="1ED0251A"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Эти три культуры представляют собой оптимальный баланс между неприхотливостью в уходе, высокой питательной плотностью и способностью к многократному плодоношению.</w:t>
      </w:r>
    </w:p>
    <w:p w14:paraId="322C07C0" w14:textId="77777777" w:rsidR="0030148E" w:rsidRDefault="00000000">
      <w:pPr>
        <w:pStyle w:val="3"/>
        <w:keepNext w:val="0"/>
        <w:keepLines w:val="0"/>
        <w:spacing w:before="0" w:after="40"/>
        <w:jc w:val="both"/>
        <w:rPr>
          <w:rFonts w:ascii="Times New Roman" w:eastAsia="Times New Roman" w:hAnsi="Times New Roman" w:cs="Times New Roman"/>
        </w:rPr>
      </w:pPr>
      <w:bookmarkStart w:id="9" w:name="_iru0gcr12kqm" w:colFirst="0" w:colLast="0"/>
      <w:bookmarkEnd w:id="9"/>
      <w:r>
        <w:rPr>
          <w:rFonts w:ascii="Times New Roman" w:eastAsia="Times New Roman" w:hAnsi="Times New Roman" w:cs="Times New Roman"/>
        </w:rPr>
        <w:t>5. Выбор парадигмы: полноценные культуры против микрозелени</w:t>
      </w:r>
    </w:p>
    <w:p w14:paraId="5E321828"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На этапе эскизного проектирования в качестве альтернативного сценария рассматривалась культивация микрозелени (проростков на 10–14 дней вегетации). Несмотря на популярность этого метода, обусловленную высокой скоростью получения первого урожая, детальный физиолого-экономический анализ показывает, что для задач длительных космических миссий микрозелень критически проигрывает взрослым листовым культурам по трем фундаментальным параметрам.</w:t>
      </w:r>
    </w:p>
    <w:p w14:paraId="42D59457" w14:textId="77777777" w:rsidR="0030148E" w:rsidRDefault="00000000">
      <w:pPr>
        <w:pStyle w:val="4"/>
        <w:keepNext w:val="0"/>
        <w:keepLines w:val="0"/>
        <w:spacing w:before="0" w:after="40"/>
        <w:ind w:left="720" w:hanging="360"/>
        <w:jc w:val="both"/>
        <w:rPr>
          <w:rFonts w:ascii="Times New Roman" w:eastAsia="Times New Roman" w:hAnsi="Times New Roman" w:cs="Times New Roman"/>
          <w:b/>
          <w:bCs/>
          <w:color w:val="000000"/>
          <w:sz w:val="22"/>
          <w:szCs w:val="22"/>
        </w:rPr>
      </w:pPr>
      <w:bookmarkStart w:id="10" w:name="_dlexgo6oxwnd" w:colFirst="0" w:colLast="0"/>
      <w:bookmarkEnd w:id="10"/>
      <w:r>
        <w:rPr>
          <w:rFonts w:ascii="Times New Roman" w:eastAsia="Times New Roman" w:hAnsi="Times New Roman" w:cs="Times New Roman"/>
          <w:b/>
          <w:bCs/>
          <w:color w:val="000000"/>
          <w:sz w:val="22"/>
          <w:szCs w:val="22"/>
        </w:rPr>
        <w:t>5.1. Логистическая экономика семенного фонда (Коэффициент конверсии)</w:t>
      </w:r>
    </w:p>
    <w:p w14:paraId="16A8B755"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Главная логистическая проблема микрозелени — метод ее сбора (растение срезается целиком на ранней стадии) и экстремально низкий коэффициент конверсии массы семян в съедобную биомассу. В среднем, для получения 1 кг микрозелени требуется от 100 до 150 граммов сухих семян (соотношение 1:8).</w:t>
      </w:r>
    </w:p>
    <w:p w14:paraId="618DF6AB" w14:textId="77777777" w:rsidR="0030148E" w:rsidRDefault="00000000">
      <w:pPr>
        <w:numPr>
          <w:ilvl w:val="0"/>
          <w:numId w:val="4"/>
        </w:numPr>
      </w:pPr>
      <w:r>
        <w:rPr>
          <w:rFonts w:ascii="Times New Roman" w:eastAsia="Times New Roman" w:hAnsi="Times New Roman" w:cs="Times New Roman"/>
          <w:b/>
          <w:bCs/>
        </w:rPr>
        <w:t>Сценарий «Микрозелень»</w:t>
      </w:r>
      <w:proofErr w:type="gramStart"/>
      <w:r>
        <w:rPr>
          <w:rFonts w:ascii="Times New Roman" w:eastAsia="Times New Roman" w:hAnsi="Times New Roman" w:cs="Times New Roman"/>
          <w:b/>
          <w:bCs/>
        </w:rPr>
        <w:t>:</w:t>
      </w:r>
      <w:r>
        <w:rPr>
          <w:rFonts w:ascii="Times New Roman" w:eastAsia="Times New Roman" w:hAnsi="Times New Roman" w:cs="Times New Roman"/>
        </w:rPr>
        <w:t xml:space="preserve"> Для</w:t>
      </w:r>
      <w:proofErr w:type="gramEnd"/>
      <w:r>
        <w:rPr>
          <w:rFonts w:ascii="Times New Roman" w:eastAsia="Times New Roman" w:hAnsi="Times New Roman" w:cs="Times New Roman"/>
        </w:rPr>
        <w:t xml:space="preserve"> обеспечения 1 космонавта физиологической нормой 150 г зелени в день (4.5 кг за цикл), с Земли необходимо ежемесячно доставлять около </w:t>
      </w:r>
      <w:r>
        <w:rPr>
          <w:rFonts w:ascii="Times New Roman" w:eastAsia="Times New Roman" w:hAnsi="Times New Roman" w:cs="Times New Roman"/>
          <w:b/>
          <w:bCs/>
        </w:rPr>
        <w:t>450–500 граммов семян</w:t>
      </w:r>
      <w:r>
        <w:rPr>
          <w:rFonts w:ascii="Times New Roman" w:eastAsia="Times New Roman" w:hAnsi="Times New Roman" w:cs="Times New Roman"/>
        </w:rPr>
        <w:t>.</w:t>
      </w:r>
    </w:p>
    <w:p w14:paraId="1E3CE034" w14:textId="77777777" w:rsidR="0030148E" w:rsidRDefault="00000000">
      <w:pPr>
        <w:numPr>
          <w:ilvl w:val="0"/>
          <w:numId w:val="4"/>
        </w:numPr>
        <w:spacing w:after="240"/>
      </w:pPr>
      <w:r>
        <w:rPr>
          <w:rFonts w:ascii="Times New Roman" w:eastAsia="Times New Roman" w:hAnsi="Times New Roman" w:cs="Times New Roman"/>
          <w:b/>
          <w:bCs/>
        </w:rPr>
        <w:t>Сценарий «Взрослые растения»:</w:t>
      </w:r>
      <w:r>
        <w:rPr>
          <w:rFonts w:ascii="Times New Roman" w:eastAsia="Times New Roman" w:hAnsi="Times New Roman" w:cs="Times New Roman"/>
        </w:rPr>
        <w:t xml:space="preserve"> Культуры вроде Кейла и Мангольда обладают способностью к многократной регенерации (метод частичной срезки). Аэропонная установка на 30 посадочных мест засевается один раз на период до 60–75 дней. После этого срока производится плановая замена растений, чтобы избежать огрубения стеблей, падения урожайности и критического разрастания корневой массы внутри трубы. Стартовая масса семенного фонда, даже с учетом плотного </w:t>
      </w:r>
      <w:proofErr w:type="spellStart"/>
      <w:r>
        <w:rPr>
          <w:rFonts w:ascii="Times New Roman" w:eastAsia="Times New Roman" w:hAnsi="Times New Roman" w:cs="Times New Roman"/>
        </w:rPr>
        <w:t>мультипосева</w:t>
      </w:r>
      <w:proofErr w:type="spellEnd"/>
      <w:r>
        <w:rPr>
          <w:rFonts w:ascii="Times New Roman" w:eastAsia="Times New Roman" w:hAnsi="Times New Roman" w:cs="Times New Roman"/>
        </w:rPr>
        <w:t xml:space="preserve"> (по 3–4 семени в лунку), составляет </w:t>
      </w:r>
      <w:r>
        <w:rPr>
          <w:rFonts w:ascii="Times New Roman" w:eastAsia="Times New Roman" w:hAnsi="Times New Roman" w:cs="Times New Roman"/>
          <w:b/>
          <w:bCs/>
        </w:rPr>
        <w:t>не более 1.5–2.0 граммов</w:t>
      </w:r>
      <w:r>
        <w:rPr>
          <w:rFonts w:ascii="Times New Roman" w:eastAsia="Times New Roman" w:hAnsi="Times New Roman" w:cs="Times New Roman"/>
        </w:rPr>
        <w:t xml:space="preserve"> на весь двухмесячный цикл. </w:t>
      </w:r>
      <w:r>
        <w:rPr>
          <w:rFonts w:ascii="Times New Roman" w:eastAsia="Times New Roman" w:hAnsi="Times New Roman" w:cs="Times New Roman"/>
          <w:b/>
          <w:bCs/>
        </w:rPr>
        <w:t>Вывод:</w:t>
      </w:r>
      <w:r>
        <w:rPr>
          <w:rFonts w:ascii="Times New Roman" w:eastAsia="Times New Roman" w:hAnsi="Times New Roman" w:cs="Times New Roman"/>
        </w:rPr>
        <w:t xml:space="preserve"> Использование взрослых регенеративных растений снижает логистическую нагрузку на доставку посевного материала почти в 500 раз. </w:t>
      </w:r>
    </w:p>
    <w:p w14:paraId="2071FBD1" w14:textId="77777777" w:rsidR="0030148E" w:rsidRDefault="00000000">
      <w:pPr>
        <w:pStyle w:val="4"/>
        <w:keepNext w:val="0"/>
        <w:keepLines w:val="0"/>
        <w:spacing w:before="0" w:after="40"/>
        <w:ind w:left="720" w:hanging="360"/>
        <w:jc w:val="both"/>
        <w:rPr>
          <w:rFonts w:ascii="Times New Roman" w:eastAsia="Times New Roman" w:hAnsi="Times New Roman" w:cs="Times New Roman"/>
          <w:b/>
          <w:bCs/>
          <w:color w:val="000000"/>
          <w:sz w:val="22"/>
          <w:szCs w:val="22"/>
        </w:rPr>
      </w:pPr>
      <w:bookmarkStart w:id="11" w:name="_s7l3829zndij" w:colFirst="0" w:colLast="0"/>
      <w:bookmarkEnd w:id="11"/>
      <w:r>
        <w:rPr>
          <w:rFonts w:ascii="Times New Roman" w:eastAsia="Times New Roman" w:hAnsi="Times New Roman" w:cs="Times New Roman"/>
          <w:b/>
          <w:bCs/>
          <w:color w:val="000000"/>
          <w:sz w:val="22"/>
          <w:szCs w:val="22"/>
        </w:rPr>
        <w:t xml:space="preserve">2. Дифференциация </w:t>
      </w:r>
      <w:proofErr w:type="spellStart"/>
      <w:r>
        <w:rPr>
          <w:rFonts w:ascii="Times New Roman" w:eastAsia="Times New Roman" w:hAnsi="Times New Roman" w:cs="Times New Roman"/>
          <w:b/>
          <w:bCs/>
          <w:color w:val="000000"/>
          <w:sz w:val="22"/>
          <w:szCs w:val="22"/>
        </w:rPr>
        <w:t>нутриентного</w:t>
      </w:r>
      <w:proofErr w:type="spellEnd"/>
      <w:r>
        <w:rPr>
          <w:rFonts w:ascii="Times New Roman" w:eastAsia="Times New Roman" w:hAnsi="Times New Roman" w:cs="Times New Roman"/>
          <w:b/>
          <w:bCs/>
          <w:color w:val="000000"/>
          <w:sz w:val="22"/>
          <w:szCs w:val="22"/>
        </w:rPr>
        <w:t xml:space="preserve"> профиля: Витамины против Минералов</w:t>
      </w:r>
    </w:p>
    <w:p w14:paraId="4FD63AFF"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В популярной литературе часто упоминается сверхвысокая концентрация витаминов в микрозелени. Однако необходимо строго разделять </w:t>
      </w:r>
      <w:r>
        <w:rPr>
          <w:rFonts w:ascii="Times New Roman" w:eastAsia="Times New Roman" w:hAnsi="Times New Roman" w:cs="Times New Roman"/>
          <w:i/>
          <w:iCs/>
        </w:rPr>
        <w:t>эндогенные витамины</w:t>
      </w:r>
      <w:r>
        <w:rPr>
          <w:rFonts w:ascii="Times New Roman" w:eastAsia="Times New Roman" w:hAnsi="Times New Roman" w:cs="Times New Roman"/>
        </w:rPr>
        <w:t xml:space="preserve"> (синтезируемые самим ростком из запасов семечка) и </w:t>
      </w:r>
      <w:r>
        <w:rPr>
          <w:rFonts w:ascii="Times New Roman" w:eastAsia="Times New Roman" w:hAnsi="Times New Roman" w:cs="Times New Roman"/>
          <w:i/>
          <w:iCs/>
        </w:rPr>
        <w:t>экзогенные минералы</w:t>
      </w:r>
      <w:r>
        <w:rPr>
          <w:rFonts w:ascii="Times New Roman" w:eastAsia="Times New Roman" w:hAnsi="Times New Roman" w:cs="Times New Roman"/>
        </w:rPr>
        <w:t xml:space="preserve"> (накапливаемые из питательного раствора).</w:t>
      </w:r>
    </w:p>
    <w:p w14:paraId="68A219B5" w14:textId="77777777" w:rsidR="0030148E" w:rsidRDefault="00000000">
      <w:pPr>
        <w:numPr>
          <w:ilvl w:val="0"/>
          <w:numId w:val="1"/>
        </w:numPr>
      </w:pPr>
      <w:r>
        <w:rPr>
          <w:rFonts w:ascii="Times New Roman" w:eastAsia="Times New Roman" w:hAnsi="Times New Roman" w:cs="Times New Roman"/>
          <w:b/>
          <w:bCs/>
        </w:rPr>
        <w:t>Минеральный дефицит микрозелени:</w:t>
      </w:r>
      <w:r>
        <w:rPr>
          <w:rFonts w:ascii="Times New Roman" w:eastAsia="Times New Roman" w:hAnsi="Times New Roman" w:cs="Times New Roman"/>
        </w:rPr>
        <w:t xml:space="preserve"> Жизненный цикл микрозелени составляет 10–14 дней. За это время корневая система просто не успевает абсорбировать и аккумулировать значимые объемы макро- и микроэлементов из воды. Микрозелень остается бедной на кальций, магний и железо.</w:t>
      </w:r>
    </w:p>
    <w:p w14:paraId="2DC12320" w14:textId="77777777" w:rsidR="0030148E" w:rsidRDefault="00000000">
      <w:pPr>
        <w:numPr>
          <w:ilvl w:val="0"/>
          <w:numId w:val="1"/>
        </w:numPr>
      </w:pPr>
      <w:r>
        <w:rPr>
          <w:rFonts w:ascii="Times New Roman" w:eastAsia="Times New Roman" w:hAnsi="Times New Roman" w:cs="Times New Roman"/>
          <w:b/>
          <w:bCs/>
        </w:rPr>
        <w:t>Минеральная плотность взрослых растений:</w:t>
      </w:r>
      <w:r>
        <w:rPr>
          <w:rFonts w:ascii="Times New Roman" w:eastAsia="Times New Roman" w:hAnsi="Times New Roman" w:cs="Times New Roman"/>
        </w:rPr>
        <w:t xml:space="preserve"> Взрослый Кейл и Мангольд, находясь в </w:t>
      </w:r>
      <w:proofErr w:type="spellStart"/>
      <w:r>
        <w:rPr>
          <w:rFonts w:ascii="Times New Roman" w:eastAsia="Times New Roman" w:hAnsi="Times New Roman" w:cs="Times New Roman"/>
        </w:rPr>
        <w:t>аэропонном</w:t>
      </w:r>
      <w:proofErr w:type="spellEnd"/>
      <w:r>
        <w:rPr>
          <w:rFonts w:ascii="Times New Roman" w:eastAsia="Times New Roman" w:hAnsi="Times New Roman" w:cs="Times New Roman"/>
        </w:rPr>
        <w:t xml:space="preserve"> контуре более 30 дней, работают как мощные </w:t>
      </w:r>
      <w:proofErr w:type="spellStart"/>
      <w:r>
        <w:rPr>
          <w:rFonts w:ascii="Times New Roman" w:eastAsia="Times New Roman" w:hAnsi="Times New Roman" w:cs="Times New Roman"/>
        </w:rPr>
        <w:t>биоаккумуляторы</w:t>
      </w:r>
      <w:proofErr w:type="spellEnd"/>
      <w:r>
        <w:rPr>
          <w:rFonts w:ascii="Times New Roman" w:eastAsia="Times New Roman" w:hAnsi="Times New Roman" w:cs="Times New Roman"/>
        </w:rPr>
        <w:t xml:space="preserve">. Обладая развитой корневой системой, они непрерывно перекачивают через себя насыщенный питательный раствор. В результате 100 г взрослого Кейла содержат до </w:t>
      </w:r>
      <w:r>
        <w:rPr>
          <w:rFonts w:ascii="Times New Roman" w:eastAsia="Times New Roman" w:hAnsi="Times New Roman" w:cs="Times New Roman"/>
          <w:b/>
          <w:bCs/>
        </w:rPr>
        <w:t xml:space="preserve">150 мг </w:t>
      </w:r>
      <w:proofErr w:type="spellStart"/>
      <w:r>
        <w:rPr>
          <w:rFonts w:ascii="Times New Roman" w:eastAsia="Times New Roman" w:hAnsi="Times New Roman" w:cs="Times New Roman"/>
          <w:b/>
          <w:bCs/>
        </w:rPr>
        <w:t>биодоступного</w:t>
      </w:r>
      <w:proofErr w:type="spellEnd"/>
      <w:r>
        <w:rPr>
          <w:rFonts w:ascii="Times New Roman" w:eastAsia="Times New Roman" w:hAnsi="Times New Roman" w:cs="Times New Roman"/>
          <w:b/>
          <w:bCs/>
        </w:rPr>
        <w:t xml:space="preserve"> кальция</w:t>
      </w:r>
      <w:r>
        <w:rPr>
          <w:rFonts w:ascii="Times New Roman" w:eastAsia="Times New Roman" w:hAnsi="Times New Roman" w:cs="Times New Roman"/>
        </w:rPr>
        <w:t xml:space="preserve"> и </w:t>
      </w:r>
      <w:r>
        <w:rPr>
          <w:rFonts w:ascii="Times New Roman" w:eastAsia="Times New Roman" w:hAnsi="Times New Roman" w:cs="Times New Roman"/>
          <w:b/>
          <w:bCs/>
        </w:rPr>
        <w:t>33 мг магния</w:t>
      </w:r>
      <w:r>
        <w:rPr>
          <w:rFonts w:ascii="Times New Roman" w:eastAsia="Times New Roman" w:hAnsi="Times New Roman" w:cs="Times New Roman"/>
        </w:rPr>
        <w:t xml:space="preserve"> — элементов, критически важных для торможения процессов вымывания костной ткани (</w:t>
      </w:r>
      <w:proofErr w:type="spellStart"/>
      <w:r>
        <w:rPr>
          <w:rFonts w:ascii="Times New Roman" w:eastAsia="Times New Roman" w:hAnsi="Times New Roman" w:cs="Times New Roman"/>
        </w:rPr>
        <w:t>остеопении</w:t>
      </w:r>
      <w:proofErr w:type="spellEnd"/>
      <w:r>
        <w:rPr>
          <w:rFonts w:ascii="Times New Roman" w:eastAsia="Times New Roman" w:hAnsi="Times New Roman" w:cs="Times New Roman"/>
        </w:rPr>
        <w:t>) в условиях лунной гравитации. Микрозелень не способна обеспечить такой уровень минеральной поддержки.</w:t>
      </w:r>
    </w:p>
    <w:p w14:paraId="656D4B74" w14:textId="77777777" w:rsidR="0030148E"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lastRenderedPageBreak/>
        <w:t>Синтез фитонцидов</w:t>
      </w:r>
      <w:proofErr w:type="gramStart"/>
      <w:r>
        <w:rPr>
          <w:rFonts w:ascii="Times New Roman" w:eastAsia="Times New Roman" w:hAnsi="Times New Roman" w:cs="Times New Roman"/>
          <w:b/>
          <w:bCs/>
        </w:rPr>
        <w:t>:</w:t>
      </w:r>
      <w:r>
        <w:rPr>
          <w:rFonts w:ascii="Times New Roman" w:eastAsia="Times New Roman" w:hAnsi="Times New Roman" w:cs="Times New Roman"/>
        </w:rPr>
        <w:t xml:space="preserve"> Для</w:t>
      </w:r>
      <w:proofErr w:type="gramEnd"/>
      <w:r>
        <w:rPr>
          <w:rFonts w:ascii="Times New Roman" w:eastAsia="Times New Roman" w:hAnsi="Times New Roman" w:cs="Times New Roman"/>
        </w:rPr>
        <w:t xml:space="preserve"> формирования сложного профиля эфирных масел (эвгенол, линалоол) растению требуется время. Взрослый Базилик при регулярной прищипке (частичной срезке верхушек) генерирует высокую концентрацию этих веществ, обеспечивающих антибактериальный эффект и стерилизацию микрофлоры полости рта космонавта. В микрозелени базилика эфирные масла просто не успевают синтезироваться в терапевтически значимых объемах. </w:t>
      </w:r>
    </w:p>
    <w:p w14:paraId="2CF49043" w14:textId="77777777" w:rsidR="0030148E" w:rsidRDefault="00000000">
      <w:pPr>
        <w:pStyle w:val="4"/>
        <w:keepNext w:val="0"/>
        <w:keepLines w:val="0"/>
        <w:spacing w:before="0" w:after="40"/>
        <w:ind w:left="720" w:hanging="360"/>
        <w:jc w:val="both"/>
        <w:rPr>
          <w:rFonts w:ascii="Times New Roman" w:eastAsia="Times New Roman" w:hAnsi="Times New Roman" w:cs="Times New Roman"/>
          <w:b/>
          <w:bCs/>
          <w:color w:val="000000"/>
          <w:sz w:val="22"/>
          <w:szCs w:val="22"/>
        </w:rPr>
      </w:pPr>
      <w:bookmarkStart w:id="12" w:name="_a8rmygewbbph" w:colFirst="0" w:colLast="0"/>
      <w:bookmarkEnd w:id="12"/>
      <w:r>
        <w:rPr>
          <w:rFonts w:ascii="Times New Roman" w:eastAsia="Times New Roman" w:hAnsi="Times New Roman" w:cs="Times New Roman"/>
          <w:b/>
          <w:bCs/>
          <w:color w:val="000000"/>
          <w:sz w:val="22"/>
          <w:szCs w:val="22"/>
        </w:rPr>
        <w:t>3. Гастроэнтерологический фактор: Структурная клетчатка</w:t>
      </w:r>
    </w:p>
    <w:p w14:paraId="3D4F1C21"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В условиях микрогравитации и гиподинамии одной из главных проблем здоровья экипажа становится атония желудочно-кишечного тракта (замедление перистальтики).</w:t>
      </w:r>
    </w:p>
    <w:p w14:paraId="1EF6E3E6" w14:textId="77777777" w:rsidR="0030148E"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Микрозелень состоит преимущественно из воды и первичных эмбриональных тканей (семядолей), содержание структурной (неперевариваемой) клетчатки в ней ничтожно мало (менее 0.5%).</w:t>
      </w:r>
    </w:p>
    <w:p w14:paraId="0091B418" w14:textId="77777777" w:rsidR="0030148E" w:rsidRDefault="00000000">
      <w:pPr>
        <w:numPr>
          <w:ilvl w:val="0"/>
          <w:numId w:val="6"/>
        </w:numPr>
      </w:pPr>
      <w:r>
        <w:rPr>
          <w:rFonts w:ascii="Times New Roman" w:eastAsia="Times New Roman" w:hAnsi="Times New Roman" w:cs="Times New Roman"/>
        </w:rPr>
        <w:t xml:space="preserve">Зрелые листья Кейла и Мангольда содержат развитый </w:t>
      </w:r>
      <w:proofErr w:type="spellStart"/>
      <w:r>
        <w:rPr>
          <w:rFonts w:ascii="Times New Roman" w:eastAsia="Times New Roman" w:hAnsi="Times New Roman" w:cs="Times New Roman"/>
        </w:rPr>
        <w:t>ксилемный</w:t>
      </w:r>
      <w:proofErr w:type="spellEnd"/>
      <w:r>
        <w:rPr>
          <w:rFonts w:ascii="Times New Roman" w:eastAsia="Times New Roman" w:hAnsi="Times New Roman" w:cs="Times New Roman"/>
        </w:rPr>
        <w:t xml:space="preserve"> каркас — от </w:t>
      </w:r>
      <w:r>
        <w:rPr>
          <w:rFonts w:ascii="Times New Roman" w:eastAsia="Times New Roman" w:hAnsi="Times New Roman" w:cs="Times New Roman"/>
          <w:b/>
          <w:bCs/>
        </w:rPr>
        <w:t>2.5 до 4.0 граммов грубой клетчатки</w:t>
      </w:r>
      <w:r>
        <w:rPr>
          <w:rFonts w:ascii="Times New Roman" w:eastAsia="Times New Roman" w:hAnsi="Times New Roman" w:cs="Times New Roman"/>
        </w:rPr>
        <w:t xml:space="preserve"> (целлюлозы и гемицеллюлозы) на каждые 100 граммов массы. Ежедневное потребление 150 граммов таких листьев обеспечивает экипаж 5–6 граммами пищевых волокон. Это обеспечивает необходимую механическую стимуляцию стенок кишечника, нормализует моторно-эвакуаторную функцию ЖКТ и служит питательной средой для сохранения симбиотического микробиома.</w:t>
      </w:r>
    </w:p>
    <w:p w14:paraId="70B69F68" w14:textId="77777777" w:rsidR="0030148E"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 xml:space="preserve">Сформированные, плотные листья взрослого Базилика обладают интенсивным ароматом и вкусом, которые физиологически необходимы для преодоления вкусовой апатии к сублимированным рационам и стимуляции выработки пищеварительных ферментов </w:t>
      </w:r>
    </w:p>
    <w:p w14:paraId="290E5CCF"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b/>
          <w:bCs/>
        </w:rPr>
        <w:t>Резюме:</w:t>
      </w:r>
      <w:r>
        <w:rPr>
          <w:rFonts w:ascii="Times New Roman" w:eastAsia="Times New Roman" w:hAnsi="Times New Roman" w:cs="Times New Roman"/>
        </w:rPr>
        <w:t xml:space="preserve"> Выбор взрослых листовых культур с циклом 60–75 дней (Кейл, Мангольд, Базилик) является единственным способом обеспечить экипаж комплексной поддержкой — от восполнения дефицита минералов до механической стимуляции работы пищеварительной системы, сохраняя при этом жесткую логистическую экономию семенного фонда. </w:t>
      </w:r>
    </w:p>
    <w:p w14:paraId="270B322A" w14:textId="77777777" w:rsidR="0030148E" w:rsidRDefault="00000000">
      <w:pPr>
        <w:pStyle w:val="3"/>
        <w:keepNext w:val="0"/>
        <w:keepLines w:val="0"/>
        <w:spacing w:before="0" w:after="40"/>
        <w:jc w:val="both"/>
        <w:rPr>
          <w:rFonts w:ascii="Times New Roman" w:eastAsia="Times New Roman" w:hAnsi="Times New Roman" w:cs="Times New Roman"/>
        </w:rPr>
      </w:pPr>
      <w:bookmarkStart w:id="13" w:name="_h7fi327duf8j" w:colFirst="0" w:colLast="0"/>
      <w:bookmarkEnd w:id="13"/>
      <w:r>
        <w:rPr>
          <w:rFonts w:ascii="Times New Roman" w:eastAsia="Times New Roman" w:hAnsi="Times New Roman" w:cs="Times New Roman"/>
        </w:rPr>
        <w:t>6. Технологическое преимущество аэропоники в условиях лунной гравитации</w:t>
      </w:r>
    </w:p>
    <w:p w14:paraId="73903B3D"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Реализация проекта требует применения наиболее эффективного метода культивирования. В условиях лунной космической станции выбор аэропоники обусловлен не только жесткой экономией веса (отказом от субстратов, являющихся исключительно «мертвым грузом» для логистики), но и специфической физикой процессов в условиях пониженной гравитации (1/6 g на поверхности Луны). Данная технология дает возможность максимально точно дозировать питательные вещества, подаваемые непосредственно к корневой системе растения.</w:t>
      </w:r>
    </w:p>
    <w:p w14:paraId="7F3D8606"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При переходе к лунной гравитации традиционные методы выращивания, такие как почвенное земледелие или классическая гидропоника, сталкиваются с критическими гидродинамическими ограничениями. В отличие от земных условий, где распределение влаги и газов в грунте регулируется гравитацией, при 1/6 g оно может быть нарушено и крайне неравномерно из-за отсутствия нормальной конвекции. Силы поверхностного натяжения начинают преобладать над гравитационными, что приводит к эффекту капиллярного запирания: свободная вода не дренирует вниз, а образует сплошные водяные замки. Одновременно с этим исчезает плотностная конвекция жидкостей, из-за чего вокруг корней формируются застойные слои, препятствующие диффузии кислорода и вызывающие анаэробное удушье.</w:t>
      </w:r>
    </w:p>
    <w:p w14:paraId="764B7F8D"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Разрабатываемая аэропонная установка нивелирует указанные гравитационные аномалии за счет принудительного механического распыления питательного раствора. Мелкодисперсный туман, обладая высокой кинетической энергией, пробивает застойные пограничные слои, доставляя влагу и минеральные соли напрямую к клеточным мембранам. Это обеспечивает идеальную, постоянную аэрацию корней.</w:t>
      </w:r>
    </w:p>
    <w:p w14:paraId="4969294D"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Однако специфическим гидродинамическим эффектом лунной гравитации является то, что даже после мелкодисперсного орошения капли склонны к </w:t>
      </w:r>
      <w:proofErr w:type="spellStart"/>
      <w:r>
        <w:rPr>
          <w:rFonts w:ascii="Times New Roman" w:eastAsia="Times New Roman" w:hAnsi="Times New Roman" w:cs="Times New Roman"/>
        </w:rPr>
        <w:t>коалесценции</w:t>
      </w:r>
      <w:proofErr w:type="spellEnd"/>
      <w:r>
        <w:rPr>
          <w:rFonts w:ascii="Times New Roman" w:eastAsia="Times New Roman" w:hAnsi="Times New Roman" w:cs="Times New Roman"/>
        </w:rPr>
        <w:t xml:space="preserve"> на корневой системе. Из-за ослабленного вектора гравитации они формируют устойчивую водяную пленку, которая не дренирует естественным путем и может спровоцировать острую корневую гипоксию, так как кислород диффундирует в воде на порядки медленнее, чем в воздухе. Для полного устранения этого риска в архитектуру установки интегрирован контур принудительного аэродинамического сброса влаги. После каждого цикла распыления активируется направленный поток воздуха сквозь корневую камеру, который механически сдувает избыточные капли, преодолевая поверхностное натяжение, и оперативно возвращает излишки воды в нижний бак для рециркуляции. Это мгновенно восстанавливает прямой контакт корневых чехликов с газовой средой, гарантируя беспрепятственное дыхание.</w:t>
      </w:r>
    </w:p>
    <w:p w14:paraId="62624A29"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Комплексное применение фазового распыления раствора и последующего аэродинамического сброса влаги предотвращает развитие патогенной микрофлоры (гнили). </w:t>
      </w:r>
      <w:proofErr w:type="gramStart"/>
      <w:r>
        <w:rPr>
          <w:rFonts w:ascii="Times New Roman" w:eastAsia="Times New Roman" w:hAnsi="Times New Roman" w:cs="Times New Roman"/>
        </w:rPr>
        <w:t>Это  важно</w:t>
      </w:r>
      <w:proofErr w:type="gramEnd"/>
      <w:r>
        <w:rPr>
          <w:rFonts w:ascii="Times New Roman" w:eastAsia="Times New Roman" w:hAnsi="Times New Roman" w:cs="Times New Roman"/>
        </w:rPr>
        <w:t xml:space="preserve"> в замкнутом пространстве базы, где любая появившаяся плесень может </w:t>
      </w:r>
      <w:proofErr w:type="gramStart"/>
      <w:r>
        <w:rPr>
          <w:rFonts w:ascii="Times New Roman" w:eastAsia="Times New Roman" w:hAnsi="Times New Roman" w:cs="Times New Roman"/>
        </w:rPr>
        <w:t>стать  угрозой</w:t>
      </w:r>
      <w:proofErr w:type="gramEnd"/>
      <w:r>
        <w:rPr>
          <w:rFonts w:ascii="Times New Roman" w:eastAsia="Times New Roman" w:hAnsi="Times New Roman" w:cs="Times New Roman"/>
        </w:rPr>
        <w:t xml:space="preserve"> для здоровья экипажа и целостности электронного оборудования. Таким образом, модифицированная аэропоника исключает условия для образования анаэробных очагов, обеспечивая микробиологическую стерильность и абсолютную технологическую надежность системы </w:t>
      </w:r>
      <w:proofErr w:type="spellStart"/>
      <w:r>
        <w:rPr>
          <w:rFonts w:ascii="Times New Roman" w:eastAsia="Times New Roman" w:hAnsi="Times New Roman" w:cs="Times New Roman"/>
        </w:rPr>
        <w:t>биорегенерации</w:t>
      </w:r>
      <w:proofErr w:type="spellEnd"/>
      <w:r>
        <w:rPr>
          <w:rFonts w:ascii="Times New Roman" w:eastAsia="Times New Roman" w:hAnsi="Times New Roman" w:cs="Times New Roman"/>
        </w:rPr>
        <w:t xml:space="preserve"> лунной станции.</w:t>
      </w:r>
    </w:p>
    <w:p w14:paraId="6FC3E2E7" w14:textId="77777777" w:rsidR="0030148E" w:rsidRDefault="00000000">
      <w:pPr>
        <w:pStyle w:val="3"/>
        <w:keepNext w:val="0"/>
        <w:keepLines w:val="0"/>
        <w:spacing w:before="0" w:after="40"/>
        <w:jc w:val="both"/>
        <w:rPr>
          <w:rFonts w:ascii="Times New Roman" w:eastAsia="Times New Roman" w:hAnsi="Times New Roman" w:cs="Times New Roman"/>
        </w:rPr>
      </w:pPr>
      <w:bookmarkStart w:id="14" w:name="_j422owa0eljs" w:colFirst="0" w:colLast="0"/>
      <w:bookmarkEnd w:id="14"/>
      <w:r>
        <w:rPr>
          <w:rFonts w:ascii="Times New Roman" w:eastAsia="Times New Roman" w:hAnsi="Times New Roman" w:cs="Times New Roman"/>
        </w:rPr>
        <w:t>Заключение</w:t>
      </w:r>
    </w:p>
    <w:p w14:paraId="48E4BA38" w14:textId="77777777" w:rsidR="0030148E"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Переход к выращиванию полноценных листовых культур вместо использования только микрозелени — это необходимый шаг в развитии космического сельского хозяйства. Развитие интегрированных </w:t>
      </w:r>
      <w:proofErr w:type="spellStart"/>
      <w:r>
        <w:rPr>
          <w:rFonts w:ascii="Times New Roman" w:eastAsia="Times New Roman" w:hAnsi="Times New Roman" w:cs="Times New Roman"/>
        </w:rPr>
        <w:t>аэропонных</w:t>
      </w:r>
      <w:proofErr w:type="spellEnd"/>
      <w:r>
        <w:rPr>
          <w:rFonts w:ascii="Times New Roman" w:eastAsia="Times New Roman" w:hAnsi="Times New Roman" w:cs="Times New Roman"/>
        </w:rPr>
        <w:t xml:space="preserve"> систем на лунных базах позволит не только гарантированно обеспечить экипаж необходимыми витаминами и клетчаткой, но и создаст прочный фундамент для долгосрочной колонизации космоса. Эта технология является ключом к превращению исследовательских станций в полностью автономные экосистемы, способные поддерживать жизнь человека вдали от Земли.</w:t>
      </w:r>
    </w:p>
    <w:p w14:paraId="09C8CB64" w14:textId="77777777" w:rsidR="0030148E" w:rsidRDefault="0030148E">
      <w:pPr>
        <w:jc w:val="both"/>
        <w:rPr>
          <w:rFonts w:ascii="Times New Roman" w:eastAsia="Times New Roman" w:hAnsi="Times New Roman" w:cs="Times New Roman"/>
        </w:rPr>
      </w:pPr>
    </w:p>
    <w:sectPr w:rsidR="003014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225686F5-FA36-46E7-A3ED-4814B7BC8427}"/>
  </w:font>
  <w:font w:name="Cambria">
    <w:panose1 w:val="02040503050406030204"/>
    <w:charset w:val="CC"/>
    <w:family w:val="roman"/>
    <w:pitch w:val="variable"/>
    <w:sig w:usb0="E00006FF" w:usb1="420024FF" w:usb2="02000000" w:usb3="00000000" w:csb0="0000019F" w:csb1="00000000"/>
    <w:embedRegular r:id="rId2" w:fontKey="{A65E8F56-891C-46C3-85DA-0AF4F795F9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4FB"/>
    <w:multiLevelType w:val="multilevel"/>
    <w:tmpl w:val="8D3476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533047"/>
    <w:multiLevelType w:val="multilevel"/>
    <w:tmpl w:val="B64401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AB65E3"/>
    <w:multiLevelType w:val="multilevel"/>
    <w:tmpl w:val="EDF42A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C34BB2"/>
    <w:multiLevelType w:val="multilevel"/>
    <w:tmpl w:val="79C88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983AED"/>
    <w:multiLevelType w:val="multilevel"/>
    <w:tmpl w:val="97A2D0D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92754ED"/>
    <w:multiLevelType w:val="multilevel"/>
    <w:tmpl w:val="A94657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3824613">
    <w:abstractNumId w:val="5"/>
  </w:num>
  <w:num w:numId="2" w16cid:durableId="529025967">
    <w:abstractNumId w:val="3"/>
  </w:num>
  <w:num w:numId="3" w16cid:durableId="1073048304">
    <w:abstractNumId w:val="1"/>
  </w:num>
  <w:num w:numId="4" w16cid:durableId="688218293">
    <w:abstractNumId w:val="0"/>
  </w:num>
  <w:num w:numId="5" w16cid:durableId="574976365">
    <w:abstractNumId w:val="4"/>
  </w:num>
  <w:num w:numId="6" w16cid:durableId="290868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8E"/>
    <w:rsid w:val="0030148E"/>
    <w:rsid w:val="003D75FC"/>
    <w:rsid w:val="00594D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3666"/>
  <w15:docId w15:val="{E6F9DCBB-51AA-4B37-A4C2-FEE56D94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sa.gov/reference/risk-of-spaceflight-induced-bone-chang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sa.gov/reference/risk-of-spaceflight-induced-bone-changes/" TargetMode="External"/><Relationship Id="rId12" Type="http://schemas.openxmlformats.org/officeDocument/2006/relationships/hyperlink" Target="https://pursuit.unimelb.edu.au/articles/why-do-food-and-drink-taste-different-in-sp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5466603/" TargetMode="External"/><Relationship Id="rId11" Type="http://schemas.openxmlformats.org/officeDocument/2006/relationships/hyperlink" Target="https://pursuit.unimelb.edu.au/articles/why-do-food-and-drink-taste-different-in-space" TargetMode="External"/><Relationship Id="rId5" Type="http://schemas.openxmlformats.org/officeDocument/2006/relationships/hyperlink" Target="https://pmc.ncbi.nlm.nih.gov/articles/PMC5466603/" TargetMode="External"/><Relationship Id="rId10" Type="http://schemas.openxmlformats.org/officeDocument/2006/relationships/hyperlink" Target="https://www.nasa.gov/humans-in-space/how-does-spaceflight-change-food-appeal/" TargetMode="External"/><Relationship Id="rId4" Type="http://schemas.openxmlformats.org/officeDocument/2006/relationships/webSettings" Target="webSettings.xml"/><Relationship Id="rId9" Type="http://schemas.openxmlformats.org/officeDocument/2006/relationships/hyperlink" Target="https://www.nasa.gov/humans-in-space/how-does-spaceflight-change-food-appea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2475</Words>
  <Characters>14110</Characters>
  <Application>Microsoft Office Word</Application>
  <DocSecurity>0</DocSecurity>
  <Lines>117</Lines>
  <Paragraphs>33</Paragraphs>
  <ScaleCrop>false</ScaleCrop>
  <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2026-07-10T06:36:00Z</dcterms:created>
  <dcterms:modified xsi:type="dcterms:W3CDTF">2026-07-10T06:36:00Z</dcterms:modified>
</cp:coreProperties>
</file>