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Media Campaign Performance Report</w:t>
      </w:r>
    </w:p>
    <w:p>
      <w:r>
        <w:t>This sample document contains several heading levels, narrative paragraphs, and two structured tables in alternating order. All figures are fictional.</w:t>
      </w:r>
    </w:p>
    <w:p>
      <w:pPr>
        <w:pStyle w:val="Heading1"/>
      </w:pPr>
      <w:r>
        <w:t>Campaign Overview</w:t>
      </w:r>
    </w:p>
    <w:p>
      <w:r>
        <w:t>The autumn campaign targeted returning shoppers through email, search, and display. Our goal was to increase qualified visits while keeping advertising cost predictable.</w:t>
      </w:r>
    </w:p>
    <w:p>
      <w:pPr>
        <w:pStyle w:val="Heading2"/>
      </w:pPr>
      <w:r>
        <w:t>Weekly Channel Performance</w:t>
      </w:r>
    </w:p>
    <w:p>
      <w:r>
        <w:t>The first table compares three channels for the same reporting week. The first row contains column headers.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Impressions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Clicks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Purchases</w:t>
            </w:r>
          </w:p>
        </w:tc>
      </w:tr>
      <w:t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</w:pPr>
            <w:r>
              <w:rPr>
                <w:sz w:val="18"/>
              </w:rPr>
              <w:t>Email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120,000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5,400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620</w:t>
            </w:r>
          </w:p>
        </w:tc>
      </w:tr>
      <w:t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</w:pPr>
            <w:r>
              <w:rPr>
                <w:sz w:val="18"/>
              </w:rPr>
              <w:t>Search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200,000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9,100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940</w:t>
            </w:r>
          </w:p>
        </w:tc>
      </w:tr>
      <w:t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</w:pPr>
            <w:r>
              <w:rPr>
                <w:sz w:val="18"/>
              </w:rPr>
              <w:t>Display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350,000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6,200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410</w:t>
            </w:r>
          </w:p>
        </w:tc>
      </w:tr>
    </w:tbl>
    <w:p>
      <w:pPr>
        <w:spacing w:before="160"/>
      </w:pPr>
      <w:r>
        <w:t>Search delivered the most purchases, while email had a relatively strong purchase-to-click ratio. This paragraph appears after the first table.</w:t>
      </w:r>
    </w:p>
    <w:p>
      <w:pPr>
        <w:pStyle w:val="Heading2"/>
      </w:pPr>
      <w:r>
        <w:t>Customer Engagement Insights</w:t>
      </w:r>
    </w:p>
    <w:p>
      <w:r>
        <w:t>Customer recency can help distinguish active shoppers from occasional visitors. The next section contains a smaller, nested heading and a second table.</w:t>
      </w:r>
    </w:p>
    <w:p>
      <w:pPr>
        <w:pStyle w:val="Heading3"/>
      </w:pPr>
      <w:r>
        <w:t>Segment Definitions</w:t>
      </w:r>
    </w:p>
    <w:p>
      <w:r>
        <w:t>The following example groups shoppers by days since their most recent purchase. These thresholds are illustrative and are not production segmentation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</w:pPr>
            <w:r>
              <w:rPr>
                <w:b/>
                <w:sz w:val="18"/>
              </w:rPr>
              <w:t>Customer Segment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Recency Days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9EFF6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Purchase Rate</w:t>
            </w:r>
          </w:p>
        </w:tc>
      </w:tr>
      <w:tr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0-30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12.4%</w:t>
            </w:r>
          </w:p>
        </w:tc>
      </w:tr>
      <w:tr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</w:pPr>
            <w:r>
              <w:rPr>
                <w:sz w:val="18"/>
              </w:rPr>
              <w:t>Warm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31-90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7.8%</w:t>
            </w:r>
          </w:p>
        </w:tc>
      </w:tr>
      <w:tr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</w:pPr>
            <w:r>
              <w:rPr>
                <w:sz w:val="18"/>
              </w:rPr>
              <w:t>Dormant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91+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2.1%</w:t>
            </w:r>
          </w:p>
        </w:tc>
      </w:tr>
    </w:tbl>
    <w:p>
      <w:pPr>
        <w:spacing w:before="160"/>
      </w:pPr>
      <w:r>
        <w:t>End of sample. This final paragraph helps confirm that text after the second table is extracted and remains in document order.</w:t>
      </w:r>
    </w:p>
    <w:sectPr w:rsidR="00FC693F" w:rsidRPr="0006063C" w:rsidSect="00034616">
      <w:pgSz w:w="12240" w:h="15840"/>
      <w:pgMar w:top="979" w:right="1210" w:bottom="936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1C1F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Media Campaign Performance Report</dc:title>
  <dc:subject>Sample document for DOCX parsing tests</dc:subject>
  <dc:creator>Sample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