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B365D"/>
          <w:sz w:val="36"/>
        </w:rPr>
        <w:t>RAPORT NA ZAJĘCIA 1–2 (ETAP 1)</w:t>
      </w:r>
    </w:p>
    <w:p>
      <w:pPr>
        <w:spacing w:after="240"/>
      </w:pPr>
      <w:r>
        <w:rPr>
          <w:rFonts w:ascii="Calibri" w:hAnsi="Calibri"/>
          <w:b/>
          <w:color w:val="4A607A"/>
          <w:sz w:val="28"/>
        </w:rPr>
        <w:t>Zdefiniowanie problemu i hipotez badawczych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982"/>
        <w:gridCol w:w="4982"/>
      </w:tblGrid>
      <w:tr>
        <w:tc>
          <w:tcPr>
            <w:tcW w:type="dxa" w:w="2592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Temat projektu: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Modelowanie trajektorii uczenia się w systemach LMS (np. Moodle). Sieci LSTM analizujące sekwencje interakcji (oglądanie materiału → przerwa → quiz → wynik) w celu przewidzenia, którzy studenci dokonają „porzucenia kursu” w ciągu najbliższych 7 dni, oraz identyfikacja wzorca poprzedzającego kryzys motywacyjny.</w:t>
            </w:r>
          </w:p>
        </w:tc>
      </w:tr>
      <w:tr>
        <w:tc>
          <w:tcPr>
            <w:tcW w:type="dxa" w:w="2592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Zbiór danych: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Open University Learning Analytics Dataset (OULAD) – wersja z platformy Kaggle / UCI Machine Learning Repository (Kuzilek et al., Nature Scientific Data 2017).</w:t>
            </w:r>
          </w:p>
        </w:tc>
      </w:tr>
      <w:tr>
        <w:tc>
          <w:tcPr>
            <w:tcW w:type="dxa" w:w="2592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Zespół i role: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Patrycja Goźlińska (Sekretarz), Katarzyna Rogozińska (Badacz), Weronika Bieńkowska (Moderator)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6"/>
        </w:rPr>
        <w:t>1. Cel etapu i problematyka badawcza</w:t>
      </w:r>
    </w:p>
    <w:p>
      <w:pPr>
        <w:keepNext/>
        <w:spacing w:before="200" w:after="60"/>
      </w:pPr>
      <w:r>
        <w:rPr>
          <w:rFonts w:ascii="Calibri" w:hAnsi="Calibri"/>
          <w:b/>
          <w:color w:val="2C4D6F"/>
          <w:sz w:val="23"/>
        </w:rPr>
        <w:t>1.1. Tło problemu i uzasadnienie dziedzinowe</w:t>
      </w:r>
    </w:p>
    <w:p>
      <w:r>
        <w:t>Rozwój platform e-learningowych oraz systemów zarządzania nauką LMS (Learning Management System, takich jak Moodle czy Canvas) sprawił, że edukacja zdalna i hybrydowa stała się powszechnym standardem akademickim. Jednym z najpoważniejszych wyzwań dydaktycznych i organizacyjnych pozostaje jednak wysoki odsetek przedwczesnych rezygnacji z kursów (student dropout / withdrawal).</w:t>
      </w:r>
    </w:p>
    <w:p>
      <w:r>
        <w:t xml:space="preserve">W zbiorze OULAD (Open University Learning Analytics Dataset), obejmującym 32 593 rejestracje studenckie (28 785 unikalnych studentów) w 22 edycjach kursów, aż </w:t>
      </w:r>
      <w:r>
        <w:rPr>
          <w:b/>
        </w:rPr>
        <w:t>31,16% rejestracji (10 156 przypadków)</w:t>
      </w:r>
      <w:r>
        <w:t xml:space="preserve"> kończy się formalnym wyrejestrowaniem przed zakończeniem modułu (status Withdrawn).</w:t>
      </w:r>
    </w:p>
    <w:p>
      <w:r>
        <w:t xml:space="preserve">Z perspektywy psychologii edukacji porzucenie kursu rzadko bywa decyzją nagłą. Jest ono niemal zawsze punktem kulminacyjnym stopniowego procesu wycofywania się, który roboczo definiujemy jako </w:t>
      </w:r>
      <w:r>
        <w:rPr>
          <w:b/>
        </w:rPr>
        <w:t>kryzys motywacyjny</w:t>
      </w:r>
      <w:r>
        <w:t xml:space="preserve">. Choć motywacja wewnętrzna nie jest mierzona bezpośrednio, w środowiskach cyfrowych pozostawia wyraźny ślad behawioralny (digital footprints): postępujące wydłużanie przerw między logowaniami, zanik rozwiązywania quizów, unikanie forów dyskusyjnych oraz przejście z aktywności sprawdzających do biernego otwierania materiałów. Ponieważ kluczowa jest nie tylko suma kliknięć, lecz ich </w:t>
      </w:r>
      <w:r>
        <w:rPr>
          <w:b/>
        </w:rPr>
        <w:t>sekwencja, rytm i chronologia</w:t>
      </w:r>
      <w:r>
        <w:t>, proces ten modelujemy jako sekwencyjny szereg czasowy zachowań.</w:t>
      </w:r>
    </w:p>
    <w:p>
      <w:pPr>
        <w:keepNext/>
        <w:spacing w:before="200" w:after="60"/>
      </w:pPr>
      <w:r>
        <w:rPr>
          <w:rFonts w:ascii="Calibri" w:hAnsi="Calibri"/>
          <w:b/>
          <w:color w:val="2C4D6F"/>
          <w:sz w:val="23"/>
        </w:rPr>
        <w:t>1.2. Cel praktyczny (Early Warning System)</w:t>
      </w:r>
    </w:p>
    <w:p>
      <w:r>
        <w:t xml:space="preserve">Głównym celem wdrożeniowym projektu jest stworzenie </w:t>
      </w:r>
      <w:r>
        <w:rPr>
          <w:b/>
        </w:rPr>
        <w:t>systemu wczesnego ostrzegania (Early Warning System)</w:t>
      </w:r>
      <w:r>
        <w:t xml:space="preserve">. Na podstawie ruchomego okna obserwacji aktywności studenta z ostatnich W dni (W ∈ {7, 14, 28}) model szacuje prawdopodobieństwo formalnego wyrejestrowania się z kursu w ciągu kolejnych </w:t>
      </w:r>
      <w:r>
        <w:rPr>
          <w:b/>
        </w:rPr>
        <w:t>7 dni</w:t>
      </w:r>
      <w:r>
        <w:t>. Horyzont 7 dni jest optymalnym kompromisem operacyjnym: jest wystarczająco bliski, by zapewnić wysoką precyzję predykcji, a jednocześnie daje tutorowi lub doradcy akademickiemu realny czas na interwencję wspierającą (np. bezpośredni kontakt mailowy, indywidualne konsultacje, uelastycznienie harmonogramu).</w:t>
      </w:r>
    </w:p>
    <w:p>
      <w:pPr>
        <w:keepNext/>
        <w:spacing w:before="200" w:after="60"/>
      </w:pPr>
      <w:r>
        <w:rPr>
          <w:rFonts w:ascii="Calibri" w:hAnsi="Calibri"/>
          <w:b/>
          <w:color w:val="2C4D6F"/>
          <w:sz w:val="23"/>
        </w:rPr>
        <w:t>1.3. Cel naukowo-techniczny</w:t>
      </w:r>
    </w:p>
    <w:p>
      <w:pPr>
        <w:pStyle w:val="ListBullet"/>
        <w:spacing w:after="60" w:line="276" w:lineRule="auto"/>
      </w:pPr>
      <w:r>
        <w:rPr>
          <w:b/>
        </w:rPr>
        <w:t xml:space="preserve">Wartość informacyjna dynamiki sekwencyjnej: </w:t>
      </w:r>
      <w:r>
        <w:t>weryfikacja, czy porządek chronologiczny i zmiany rytmu pracy niosą istotną wartość predykcyjną ponad proste zagregowane statystyki (np. sumaryczna liczba kliknięć).</w:t>
      </w:r>
    </w:p>
    <w:p>
      <w:pPr>
        <w:pStyle w:val="ListBullet"/>
        <w:spacing w:after="60" w:line="276" w:lineRule="auto"/>
      </w:pPr>
      <w:r>
        <w:rPr>
          <w:b/>
        </w:rPr>
        <w:t xml:space="preserve">Ewaluacja modeli głębokiego uczenia (LSTM vs Baseline): </w:t>
      </w:r>
      <w:r>
        <w:t>porównanie skuteczności sieci rekurencyjnej LSTM (Long Short-Term Memory) z klasycznymi algorytmami uczenia maszynowego (Random Forest, XGBoost) operującymi na cechach zbiorczych z tego samego okna.</w:t>
      </w:r>
    </w:p>
    <w:p>
      <w:pPr>
        <w:pStyle w:val="ListBullet"/>
        <w:spacing w:after="60" w:line="276" w:lineRule="auto"/>
      </w:pPr>
      <w:r>
        <w:rPr>
          <w:b/>
        </w:rPr>
        <w:t xml:space="preserve">Wyjaśnialność i rekonstrukcja trajektorii: </w:t>
      </w:r>
      <w:r>
        <w:t>zastosowanie metod interpretowalności (mechanizm uwagi – Attention, wartości SHAP) w celu wyodrębnienia i formalnego opisania mierzalnego wzorca behawioralnego poprzedzającego decyzję o rezygnacji.</w:t>
      </w: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6"/>
        </w:rPr>
        <w:t>2. Wykonane działania w ramach Etapu 1</w:t>
      </w:r>
    </w:p>
    <w:p>
      <w:pPr>
        <w:pStyle w:val="ListBullet"/>
        <w:spacing w:after="60" w:line="276" w:lineRule="auto"/>
      </w:pPr>
      <w:r>
        <w:rPr>
          <w:b/>
        </w:rPr>
        <w:t xml:space="preserve">Sformułowanie tematu i pytań badawczych: </w:t>
      </w:r>
      <w:r>
        <w:t>określono precyzyjne ramy zadania jako binarnej klasyfikacji sekwencji z ruchomym oknem obserwacji i horyzontem 7-dniowym.</w:t>
      </w:r>
    </w:p>
    <w:p>
      <w:pPr>
        <w:pStyle w:val="ListBullet"/>
        <w:spacing w:after="60" w:line="276" w:lineRule="auto"/>
      </w:pPr>
      <w:r>
        <w:t>Postawienie i sformalizowanie hipotez badawczych: zdefiniowano cztery hipotezy (H1–H4) (H1: sygnały behawioralne, H2: przewaga LSTM nad XGBoost, H3: 3-etapowy wzorzec kryzysu) wraz z precyzyjną metodologią ich statystycznej weryfikacji.</w:t>
      </w:r>
    </w:p>
    <w:p>
      <w:pPr>
        <w:pStyle w:val="ListBullet"/>
        <w:spacing w:after="60" w:line="276" w:lineRule="auto"/>
      </w:pPr>
      <w:r>
        <w:rPr>
          <w:b/>
        </w:rPr>
        <w:t xml:space="preserve">Szczegółowa weryfikacja bazy OULAD: </w:t>
      </w:r>
      <w:r>
        <w:t>przeanalizowano strukturę 7 tabel, relacje kluczy obcych oraz format zapisu czasu, potwierdzając pełną kompatybilność zbioru z wymaganiami zadania.</w:t>
      </w:r>
    </w:p>
    <w:p>
      <w:pPr>
        <w:pStyle w:val="ListBullet"/>
        <w:spacing w:after="60" w:line="276" w:lineRule="auto"/>
      </w:pPr>
      <w:r>
        <w:rPr>
          <w:b/>
        </w:rPr>
        <w:t xml:space="preserve">Opracowanie rygoru metodologicznego: </w:t>
      </w:r>
      <w:r>
        <w:t>zaprojektowano podział danych na poziomie studenta (Group K-Fold po id_student) oraz mechanizm Sliding Window całkowicie wykluczający wyciek danych z przyszłości (Data Leakage).</w:t>
      </w:r>
    </w:p>
    <w:p>
      <w:pPr>
        <w:pStyle w:val="ListBullet"/>
        <w:spacing w:after="60" w:line="276" w:lineRule="auto"/>
      </w:pPr>
      <w:r>
        <w:rPr>
          <w:b/>
        </w:rPr>
        <w:t xml:space="preserve">Organizacja środowiska i podział ról: </w:t>
      </w:r>
      <w:r>
        <w:t>skonfigurowano repozytorium GitHub, przygotowano skrypt automatycznego pobierania danych oraz rozdzielono role i zadania w zespole.</w:t>
      </w: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6"/>
        </w:rPr>
        <w:t>3. Pytania badawcze i hipotezy</w:t>
      </w:r>
    </w:p>
    <w:p>
      <w:pPr>
        <w:keepNext/>
        <w:spacing w:before="200" w:after="60"/>
      </w:pPr>
      <w:r>
        <w:rPr>
          <w:rFonts w:ascii="Calibri" w:hAnsi="Calibri"/>
          <w:b/>
          <w:color w:val="2C4D6F"/>
          <w:sz w:val="23"/>
        </w:rPr>
        <w:t>3.1. Pytania badawcze</w:t>
      </w:r>
    </w:p>
    <w:p>
      <w:pPr>
        <w:pStyle w:val="ListBullet"/>
        <w:spacing w:after="60" w:line="276" w:lineRule="auto"/>
      </w:pPr>
      <w:r>
        <w:rPr>
          <w:b/>
        </w:rPr>
        <w:t xml:space="preserve">PB1: </w:t>
      </w:r>
      <w:r>
        <w:t>Czy dynamika zmian w dziennej sekwencji interakcji studenta z LMS (liczba kliknięć w poszczególne typy zasobów, długość przerw bez aktywności, dynamika ocen) pozwala przewidzieć wyrejestrowanie z kursu z 7-dniowym wyprzedzeniem?</w:t>
      </w:r>
    </w:p>
    <w:p>
      <w:pPr>
        <w:pStyle w:val="ListBullet"/>
        <w:spacing w:after="60" w:line="276" w:lineRule="auto"/>
      </w:pPr>
      <w:r>
        <w:rPr>
          <w:b/>
        </w:rPr>
        <w:t xml:space="preserve">PB2: </w:t>
      </w:r>
      <w:r>
        <w:t>Czy sieć sekwencyjna LSTM osiąga istotnie wyższą skuteczność (PR-AUC, F1-Score) niż klasyczne modele drzewiaste (Random Forest, XGBoost) operujące na cechach zagregowanych z tego samego okna obserwacji?</w:t>
      </w:r>
    </w:p>
    <w:p>
      <w:pPr>
        <w:pStyle w:val="ListBullet"/>
        <w:spacing w:after="60" w:line="276" w:lineRule="auto"/>
      </w:pPr>
      <w:r>
        <w:rPr>
          <w:b/>
        </w:rPr>
        <w:t xml:space="preserve">PB3: </w:t>
      </w:r>
      <w:r>
        <w:t>Jakie sekwencje zachowań (np. zanik aktywności interaktywnej, wydłużanie przerw, spadek wyników) stanowią najsilniejszy mierzalny sygnał ostrzegawczy przed porzuceniem kursu?</w:t>
      </w:r>
    </w:p>
    <w:p>
      <w:pPr>
        <w:pStyle w:val="ListBullet"/>
        <w:spacing w:after="60" w:line="276" w:lineRule="auto"/>
      </w:pPr>
      <w:r>
        <w:rPr>
          <w:b/>
        </w:rPr>
        <w:t xml:space="preserve">PB4: </w:t>
      </w:r>
      <w:r>
        <w:t>W jaki sposób długość okna obserwacji (W ∈ {7, 14, 28} dni) wpływa na jakość, stabilność i wrażliwość predykcji modelu LSTM?</w:t>
      </w:r>
    </w:p>
    <w:p>
      <w:pPr>
        <w:keepNext/>
        <w:spacing w:before="200" w:after="60"/>
      </w:pPr>
      <w:r>
        <w:rPr>
          <w:rFonts w:ascii="Calibri" w:hAnsi="Calibri"/>
          <w:b/>
          <w:color w:val="2C4D6F"/>
          <w:sz w:val="23"/>
        </w:rPr>
        <w:t>3.2. Hipotezy badawcze i metodologia weryfikacji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3321"/>
        <w:gridCol w:w="3321"/>
        <w:gridCol w:w="3321"/>
      </w:tblGrid>
      <w:tr>
        <w:tc>
          <w:tcPr>
            <w:tcW w:type="dxa" w:w="3321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Hipoteza</w:t>
            </w:r>
          </w:p>
        </w:tc>
        <w:tc>
          <w:tcPr>
            <w:tcW w:type="dxa" w:w="3321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Treść hipotezy</w:t>
            </w:r>
          </w:p>
        </w:tc>
        <w:tc>
          <w:tcPr>
            <w:tcW w:type="dxa" w:w="3321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Metodologia weryfikacji empirycznej</w:t>
            </w:r>
          </w:p>
        </w:tc>
      </w:tr>
      <w:tr>
        <w:tc>
          <w:tcPr>
            <w:tcW w:type="dxa" w:w="2160"/>
            <w:shd w:val="clear" w:color="auto"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H1 (sygnały behawioralne)</w:t>
            </w:r>
          </w:p>
        </w:tc>
        <w:tc>
          <w:tcPr>
            <w:tcW w:type="dxa" w:w="4032"/>
            <w:shd w:val="clear" w:color="auto"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Wydłużenie przerw (liczby dni bez aktywności w VLE) połączone ze spadkiem interakcji z zasobami sprawdzającymi (quizy, zadania) w oknie obserwacji jest statystycznie istotnym predyktorem formalnego wyrejestrowania się z kursu w ciągu najbliższych 7 dni.</w:t>
            </w:r>
          </w:p>
        </w:tc>
        <w:tc>
          <w:tcPr>
            <w:tcW w:type="dxa" w:w="4032"/>
            <w:shd w:val="clear" w:color="auto"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Porównanie rozkładów cech w grupie rezygnujących i kontynuujących nieparametrycznym testem Manna-Whitneya (α = 0,05 z korektą na wielokrotne testowanie) wraz z estymacją wielkości efektu (Cliff’s delta / rank-biserial). Uzupełnienie: analiza istotności cech (Feature Importance) w modelach drzewiastych.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H2 (przewaga sieci LSTM)</w:t>
            </w:r>
          </w:p>
        </w:tc>
        <w:tc>
          <w:tcPr>
            <w:tcW w:type="dxa" w:w="403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Dzięki zdolności do modelowania zależności czasowych i chronologii zdarzeń, model LSTM uzyska wyższe PR-AUC oraz F1-Score (o co najmniej 5 punktów procentowych) niż najlepszy model klasyczny (XGBoost) bazujący na cechach zagregowanych.</w:t>
            </w:r>
          </w:p>
        </w:tc>
        <w:tc>
          <w:tcPr>
            <w:tcW w:type="dxa" w:w="403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Strojenie hiperparametrów z użyciem Group K-Fold (grupowanie po id_student). Ostateczna ocena na wydzielonym jednorazowo zbiorze testowym. Wyznaczenie 95% przedziałów ufności metodą bootstrapingu na poziomie studentów. Identyczne podziały danych i okna dla wszystkich modeli.</w:t>
            </w:r>
          </w:p>
        </w:tc>
      </w:tr>
      <w:tr>
        <w:tc>
          <w:tcPr>
            <w:tcW w:type="dxa" w:w="2160"/>
            <w:shd w:val="clear" w:color="auto"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H3 (struktura kryzysu)</w:t>
            </w:r>
          </w:p>
        </w:tc>
        <w:tc>
          <w:tcPr>
            <w:tcW w:type="dxa" w:w="4032"/>
            <w:shd w:val="clear" w:color="auto"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Analiza interpretowalności modelu (wagi uwagi Attention / SHAP) ujawni powtarzalny, 3-etapowy wzorzec wycofywania się: (1) spadek aktywności interaktywnej przy sporadycznym otwieraniu materiałów pasywnych, (2) wydłużenie przerw powyżej wyznaczonego empirycznie progu (wstępnie ≥ 3 dni), (3) całkowity zanik interakcji przed wyrejestrowaniem.</w:t>
            </w:r>
          </w:p>
        </w:tc>
        <w:tc>
          <w:tcPr>
            <w:tcW w:type="dxa" w:w="4032"/>
            <w:shd w:val="clear" w:color="auto"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Analiza rozkładu ważności kroków czasowych dla predykcji pozytywnych (Y = 1), klasteryzacja wektorów ukrytych stanów sieci LSTM (lub trajektorii cech) oraz weryfikacja stabilności wzorca pomiędzy różnymi modułami kursów.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6"/>
        </w:rPr>
        <w:t>4. Analiza danych OULAD, specyfika osi czasu i uzasadnienie adekwatności</w:t>
      </w:r>
    </w:p>
    <w:p>
      <w:pPr>
        <w:keepNext/>
        <w:spacing w:before="200" w:after="60"/>
      </w:pPr>
      <w:r>
        <w:rPr>
          <w:rFonts w:ascii="Calibri" w:hAnsi="Calibri"/>
          <w:b/>
          <w:color w:val="2C4D6F"/>
          <w:sz w:val="23"/>
        </w:rPr>
        <w:t>4.1. Struktura bazy OULAD</w:t>
      </w:r>
    </w:p>
    <w:p>
      <w:r>
        <w:t xml:space="preserve">Baza OULAD składa się z 7 powiązanych relacyjnie tabel w formacie CSV. Student jest jednoznacznie identyfikowany trójką: </w:t>
      </w:r>
      <w:r>
        <w:rPr>
          <w:b/>
        </w:rPr>
        <w:t>(code_module, code_presentation, id_student)</w:t>
      </w:r>
      <w:r>
        <w:t>. Poniżej zestawiono rolę poszczególnych tabel w potoku analitycznym: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3321"/>
        <w:gridCol w:w="3321"/>
        <w:gridCol w:w="3321"/>
      </w:tblGrid>
      <w:tr>
        <w:tc>
          <w:tcPr>
            <w:tcW w:type="dxa" w:w="3321"/>
            <w:shd w:val="clear" w:color="auto"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Plik CSV</w:t>
            </w:r>
          </w:p>
        </w:tc>
        <w:tc>
          <w:tcPr>
            <w:tcW w:type="dxa" w:w="3321"/>
            <w:shd w:val="clear" w:color="auto"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Zawartość i rola w projekcie</w:t>
            </w:r>
          </w:p>
        </w:tc>
        <w:tc>
          <w:tcPr>
            <w:tcW w:type="dxa" w:w="3321"/>
            <w:shd w:val="clear" w:color="auto"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Kluczowe zmienne</w:t>
            </w:r>
          </w:p>
        </w:tc>
      </w:tr>
      <w:tr>
        <w:tc>
          <w:tcPr>
            <w:tcW w:type="dxa" w:w="2592"/>
            <w:shd w:val="clear" w:color="auto"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studentVle.csv</w:t>
            </w:r>
          </w:p>
        </w:tc>
        <w:tc>
          <w:tcPr>
            <w:tcW w:type="dxa" w:w="4752"/>
            <w:shd w:val="clear" w:color="auto"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Dziennik interakcji z VLE (10 655 280 wierszy). Zawiera sumaryczną liczbę kliknięć studenta w dany materiał w danym dniu. Stanowi podstawę konstrukcji sekwencji czasowych dla LSTM.</w:t>
            </w:r>
          </w:p>
        </w:tc>
        <w:tc>
          <w:tcPr>
            <w:tcW w:type="dxa" w:w="2880"/>
            <w:shd w:val="clear" w:color="auto"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id_student, id_site, date, sum_click, code_module, code_presentation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vle.csv</w:t>
            </w:r>
          </w:p>
        </w:tc>
        <w:tc>
          <w:tcPr>
            <w:tcW w:type="dxa" w:w="475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Katalog materiałów dydaktycznych. Umożliwia sklasyfikowanie każdego id_site jako zasobu interaktywnego (quiz, forumng, subpage) lub pasywnego (oucontent, url, resource).</w:t>
            </w:r>
          </w:p>
        </w:tc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id_site, activity_type, week_from, week_to</w:t>
            </w:r>
          </w:p>
        </w:tc>
      </w:tr>
      <w:tr>
        <w:tc>
          <w:tcPr>
            <w:tcW w:type="dxa" w:w="2592"/>
            <w:shd w:val="clear" w:color="auto"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studentRegistration.csv</w:t>
            </w:r>
          </w:p>
        </w:tc>
        <w:tc>
          <w:tcPr>
            <w:tcW w:type="dxa" w:w="4752"/>
            <w:shd w:val="clear" w:color="auto"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Daty zapisu i wyrejestrowania z kursu. Stanowi bezpośrednie źródło etykiety predykcyjnej Y. Wartość NA w date_unregistration oznacza brak rezygnacji.</w:t>
            </w:r>
          </w:p>
        </w:tc>
        <w:tc>
          <w:tcPr>
            <w:tcW w:type="dxa" w:w="2880"/>
            <w:shd w:val="clear" w:color="auto"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id_student, date_registration, date_unregistration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studentAssessment.csv &amp; assessments.csv</w:t>
            </w:r>
          </w:p>
        </w:tc>
        <w:tc>
          <w:tcPr>
            <w:tcW w:type="dxa" w:w="475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Rejestr ocen i terminów oddania prac (TMA – Tutor Marked, CMA – Computer Marked, Exam). Umożliwia zasilenie wektora cech wynikami cząstkowymi studenta.</w:t>
            </w:r>
          </w:p>
        </w:tc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id_assessment, id_student, date_submitted, score, date, weight, assessment_type</w:t>
            </w:r>
          </w:p>
        </w:tc>
      </w:tr>
      <w:tr>
        <w:tc>
          <w:tcPr>
            <w:tcW w:type="dxa" w:w="2592"/>
            <w:shd w:val="clear" w:color="auto"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studentInfo.csv</w:t>
            </w:r>
          </w:p>
        </w:tc>
        <w:tc>
          <w:tcPr>
            <w:tcW w:type="dxa" w:w="4752"/>
            <w:shd w:val="clear" w:color="auto"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Dane demograficzne (wiek, wykształcenie, płeć) oraz zagregowany wynik końcowy modułu (Pass, Fail, Withdrawn, Distinction). Wykorzystywane do walidacji.</w:t>
            </w:r>
          </w:p>
        </w:tc>
        <w:tc>
          <w:tcPr>
            <w:tcW w:type="dxa" w:w="2880"/>
            <w:shd w:val="clear" w:color="auto"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id_student, highest_education, age_band, disability, final_result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courses.csv</w:t>
            </w:r>
          </w:p>
        </w:tc>
        <w:tc>
          <w:tcPr>
            <w:tcW w:type="dxa" w:w="475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Metadane edycji modułów, w tym długość trwania prezentacji kursu w dniach.</w:t>
            </w:r>
          </w:p>
        </w:tc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code_module, code_presentation, module_presentation_length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2C4D6F"/>
          <w:sz w:val="23"/>
        </w:rPr>
        <w:t>4.2. Reprezentacja czasu w OULAD: dlaczego brak bezwzględnych timestampów (hh:mm:ss)?</w:t>
      </w:r>
    </w:p>
    <w:p>
      <w:r>
        <w:t xml:space="preserve">W zbiorze OULAD czas nie jest zapisany w formacie stempla UNIX (rok-miesiąc-dzień godzina:minuta:sekunda), lecz w postaci </w:t>
      </w:r>
      <w:r>
        <w:rPr>
          <w:b/>
        </w:rPr>
        <w:t>znormalizowanej, dyskretnej osi czasu o ziarnistości dziennej (zmienna date ∈ ℤ)</w:t>
      </w:r>
      <w:r>
        <w:t>. Zmienna ta określa liczbę dni względem oficjalnego startu modułu (dzień 0). Wartości ujemne (np. date = -10) oznaczają aktywność w fazie prerejestracji, natomiast wartości dodatnie reprezentują kolejne dni trwania kursu.</w:t>
      </w:r>
    </w:p>
    <w:p>
      <w:r>
        <w:t>Brak dokładnych sygnatur godzinowych wynika z dwóch kluczowych, uzasadnionych przyczyn:</w:t>
      </w:r>
    </w:p>
    <w:p>
      <w:pPr>
        <w:pStyle w:val="ListBullet"/>
        <w:spacing w:after="60" w:line="276" w:lineRule="auto"/>
      </w:pPr>
      <w:r>
        <w:rPr>
          <w:b/>
        </w:rPr>
        <w:t xml:space="preserve">1. Anonimizacja i ochrona prywatności (RODO / UK Data Protection Act): </w:t>
      </w:r>
      <w:r>
        <w:t>Open University celowo usunął dokładne godziny i minuty zdarzeń. W połączeniu z metadanymi demograficznymi dokładne sygnatury czasowe logowań umożliwiłyby deanonimizację osób na podstawie ich rytmu dobowego i lokalnych stref czasowych.</w:t>
      </w:r>
    </w:p>
    <w:p>
      <w:pPr>
        <w:pStyle w:val="ListBullet"/>
        <w:spacing w:after="60" w:line="276" w:lineRule="auto"/>
      </w:pPr>
      <w:r>
        <w:rPr>
          <w:b/>
        </w:rPr>
        <w:t xml:space="preserve">2. Eliminacja szumu mikro-interakcji: </w:t>
      </w:r>
      <w:r>
        <w:t>W badaniach nad procesem uczenia się milisekundowe odstępy między kliknięciami w obrębie jednej sesji (np. wielokrotne odświeżanie strony, szybkie przeklikiwanie podstron) nie odzwierciedlają zmiany stanu wiedzy ani kryzysu motywacyjnego, lecz wprowadzają szum stochastyczny.</w:t>
      </w:r>
    </w:p>
    <w:p>
      <w:pPr>
        <w:keepNext/>
        <w:spacing w:before="200" w:after="60"/>
      </w:pPr>
      <w:r>
        <w:rPr>
          <w:rFonts w:ascii="Calibri" w:hAnsi="Calibri"/>
          <w:b/>
          <w:color w:val="2C4D6F"/>
          <w:sz w:val="23"/>
        </w:rPr>
        <w:t>4.3. Merytoryczne uzasadnienie adekwatności OULAD do modelowania sieciami LSTM</w:t>
      </w:r>
    </w:p>
    <w:p>
      <w:r>
        <w:t xml:space="preserve">Brak sygnatur sub-dziennych nie tylko nie stanowi przeszkody badawczej, lecz w kontekście modelowania sekwencji sieciami LSTM jest </w:t>
      </w:r>
      <w:r>
        <w:rPr>
          <w:b/>
        </w:rPr>
        <w:t>podejściem metodologicznie i obliczeniowo pożądanym</w:t>
      </w:r>
      <w:r>
        <w:t>. Przemawiają za tym cztery fundamentalne argumenty:</w:t>
      </w:r>
    </w:p>
    <w:p>
      <w:pPr>
        <w:pStyle w:val="ListBullet"/>
        <w:spacing w:after="60" w:line="276" w:lineRule="auto"/>
      </w:pPr>
      <w:r>
        <w:rPr>
          <w:b/>
        </w:rPr>
        <w:t xml:space="preserve">1. Światowy standard (Gold Standard Benchmark) w literaturze naukowej: </w:t>
      </w:r>
      <w:r>
        <w:t>Zbiór OULAD (Kuzilek, Hlosta, Zdrahal, Nature Scientific Data 2017) jest najszerzej stosowanym zbiorem odniesienia w obszarach Educational Data Mining (EDM) oraz Learning Analytics. Setki recenzowanych artykułów (m.in. w IEEE Transactions on Learning Technologies, Computers &amp; Education, LAK) wykorzystują dokładnie tę dzienną granulację OULAD do prognozowania rezygnacji i modelowania trajektorii przy użyciu sieci LSTM, GRU i architektur z mechanizmem uwagi.</w:t>
      </w:r>
    </w:p>
    <w:p>
      <w:pPr>
        <w:pStyle w:val="ListBullet"/>
        <w:spacing w:after="60" w:line="276" w:lineRule="auto"/>
      </w:pPr>
      <w:r>
        <w:rPr>
          <w:b/>
        </w:rPr>
        <w:t xml:space="preserve">2. Matematyczne dopasowanie do horyzontu pamięci LSTM: </w:t>
      </w:r>
      <w:r>
        <w:t>Gdyby dane rejestrowano na poziomie pojedynczych kliknięć co do sekundy, trajektoria jednego studenta w semestrze liczyłaby 30 000 – 70 000 kroków czasowych. Przy takich długościach sieci rekurencyjne cierpią na katastrofalny zanik gradientu (vanishing gradient) oraz eksplozję zapotrzebowania na pamięć GPU. Reprezentacja dzienna w oknie W ∈ {7, 14, 28} dni tworzy sekwencje o długości kilkunastu kroków – jest to idealny, stabilny numerycznie zakres efektywnej pamięci (effective memory horizon) komórek LSTM.</w:t>
      </w:r>
    </w:p>
    <w:p>
      <w:pPr>
        <w:pStyle w:val="ListBullet"/>
        <w:spacing w:after="60" w:line="276" w:lineRule="auto"/>
      </w:pPr>
      <w:r>
        <w:rPr>
          <w:b/>
        </w:rPr>
        <w:t xml:space="preserve">3. Bezpośrednia reprezentacja przerw (inactivity gaps): </w:t>
      </w:r>
      <w:r>
        <w:t>Dyskretna oś dzienna pozwala na elementarne i precyzyjne zdefiniowanie cechy kluczowej dla hipotez H1 i H3 – liczby kolejnych dni bez logowania (dni bezczynności). Każdy dzień bez wpisu w studentVle bezpośrednio inkrementuje licznik przerwy.</w:t>
      </w:r>
    </w:p>
    <w:p>
      <w:pPr>
        <w:pStyle w:val="ListBullet"/>
        <w:spacing w:after="60" w:line="276" w:lineRule="auto"/>
      </w:pPr>
      <w:r>
        <w:rPr>
          <w:b/>
        </w:rPr>
        <w:t xml:space="preserve">4. Spójność z realnym celem interwencyjnym (Early Warning System): </w:t>
      </w:r>
      <w:r>
        <w:t>Predykcja wyprzedzająca o 7 dni to zadanie w skali makro. Działania zaradcze tutora (kontakt ze studentem, przygotowanie materiałów wyrównawczych) odbywają się w cyklu dni i tygodni, a nie sekund. Dyskretna oś dzienna idealnie odwzorowuje dynamikę tego procesu.</w:t>
      </w: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6"/>
        </w:rPr>
        <w:t>5. Formalizacja zadania predykcyjnego (Sliding Window)</w:t>
      </w:r>
    </w:p>
    <w:p>
      <w:r>
        <w:t xml:space="preserve">Zadanie definiujemy jako </w:t>
      </w:r>
      <w:r>
        <w:rPr>
          <w:b/>
        </w:rPr>
        <w:t>binarną klasyfikację wielowymiarowego szeregu czasowego</w:t>
      </w:r>
      <w:r>
        <w:t xml:space="preserve"> z wykorzystaniem techniki przesuwnego okna obserwacji:</w:t>
      </w:r>
    </w:p>
    <w:p>
      <w:pPr>
        <w:pStyle w:val="ListBullet"/>
        <w:spacing w:after="60" w:line="276" w:lineRule="auto"/>
      </w:pPr>
      <w:r>
        <w:rPr>
          <w:b/>
        </w:rPr>
        <w:t xml:space="preserve">Okno obserwacji (W): </w:t>
      </w:r>
      <w:r>
        <w:t>Dla wybranego dnia kursu T wejściem modelu jest macierz cech X_T z przedziału [T−W+1, T] o wymiarze W × K, gdzie K to liczba cech dziennych. Testowane będą okna W ∈ {7, 14, 28} dni. Dla początkowych dni kursu stosowane jest dopełnianie zerami (zero-padding) z maskowaniem (masking).</w:t>
      </w:r>
    </w:p>
    <w:p>
      <w:pPr>
        <w:pStyle w:val="ListBullet"/>
        <w:spacing w:after="60" w:line="276" w:lineRule="auto"/>
      </w:pPr>
      <w:r>
        <w:rPr>
          <w:b/>
        </w:rPr>
        <w:t xml:space="preserve">Wektor cech dziennych (x_t): </w:t>
      </w:r>
      <w:r>
        <w:t>W każdym dniu t okna wektor cech obejmuje: (1) liczbę kliknięć w zasoby interaktywne/sprawdzające (quiz, forumng, ouwiki, subpage), (2) liczbę kliknięć w zasoby pasywne (oucontent, url, resource), (3) binarny znacznik aktywności w danym dniu, (4) długość bieżącej przerwy (liczba dni od ostatniej aktywności) oraz (5) skumulowaną średnią ważoną ocen z zadań oddanych do dnia T (date_submitted ≤ T), co bezwzględnie zabezpiecza przed wyciekiem danych z przyszłości.</w:t>
      </w:r>
    </w:p>
    <w:p>
      <w:pPr>
        <w:pStyle w:val="ListBullet"/>
        <w:spacing w:after="60" w:line="276" w:lineRule="auto"/>
      </w:pPr>
      <w:r>
        <w:rPr>
          <w:b/>
        </w:rPr>
        <w:t xml:space="preserve">Zmienna docelowa (Y_T): </w:t>
      </w:r>
      <w:r>
        <w:t>Y_T = 1, jeśli student formalnie wyrejestrował się w oknie predykcyjnym (date_unregistration ∈ (T, T+7]), w przeciwnym wypadku Y_T = 0.</w:t>
      </w:r>
    </w:p>
    <w:p>
      <w:pPr>
        <w:pStyle w:val="ListBullet"/>
        <w:spacing w:after="60" w:line="276" w:lineRule="auto"/>
      </w:pPr>
      <w:r>
        <w:rPr>
          <w:b/>
        </w:rPr>
        <w:t xml:space="preserve">Warunki generowania próbek: </w:t>
      </w:r>
      <w:r>
        <w:t>Okna generowane są wyłącznie dla dni, w których student posiadał status aktywnego uczestnika (date_registration ≤ T &lt; date_unregistration). Rejestracje z wyrejestrowaniem przed startem modułu (date_unregistration &lt; 0) są odrzucane z uwagi na brak historii aktywności w VLE.</w:t>
      </w: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6"/>
        </w:rPr>
        <w:t>6. Identyfikacja ryzyk, ograniczeń i metody mitygacji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3321"/>
        <w:gridCol w:w="3321"/>
        <w:gridCol w:w="3321"/>
      </w:tblGrid>
      <w:tr>
        <w:tc>
          <w:tcPr>
            <w:tcW w:type="dxa" w:w="3321"/>
            <w:shd w:val="clear" w:color="auto"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Zidentyfikowane ryzyko / ograniczenie</w:t>
            </w:r>
          </w:p>
        </w:tc>
        <w:tc>
          <w:tcPr>
            <w:tcW w:type="dxa" w:w="3321"/>
            <w:shd w:val="clear" w:color="auto"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Wpływ na rzetelność projektu</w:t>
            </w:r>
          </w:p>
        </w:tc>
        <w:tc>
          <w:tcPr>
            <w:tcW w:type="dxa" w:w="3321"/>
            <w:shd w:val="clear" w:color="auto"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Przyjęta strategia mitygacji</w:t>
            </w:r>
          </w:p>
        </w:tc>
      </w:tr>
      <w:tr>
        <w:tc>
          <w:tcPr>
            <w:tcW w:type="dxa" w:w="2880"/>
            <w:shd w:val="clear" w:color="auto"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Wyciek danych (Data Leakage) między oknami oraz z przyszłości</w:t>
            </w:r>
          </w:p>
        </w:tc>
        <w:tc>
          <w:tcPr>
            <w:tcW w:type="dxa" w:w="3600"/>
            <w:shd w:val="clear" w:color="auto"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Sztucznie zawyżone metryki skuteczności i brak zdolności generalizacji modelu w warunkach rzeczywistych.</w:t>
            </w:r>
          </w:p>
        </w:tc>
        <w:tc>
          <w:tcPr>
            <w:tcW w:type="dxa" w:w="3744"/>
            <w:shd w:val="clear" w:color="auto"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Rygorystyczny podział zbiorów (70% train, 15% val, 15% test) i Group K-Fold wyłącznie na poziomie unikalnego id_student. Cechy i oceny liczone wyłącznie na podstawie danych do dnia T.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Ekstremalna nierównowaga klas (ok. 1% okien z Y = 1)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Trywialny model przewidujący zawsze klasę dominującą (Y = 0) uzyskuje ~99% dokładności (Accuracy), będąc całkowicie bezużytecznym.</w:t>
            </w:r>
          </w:p>
        </w:tc>
        <w:tc>
          <w:tcPr>
            <w:tcW w:type="dxa" w:w="374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Całkowite odrzucenie Accuracy jako metryki optymalizacyjnej. Wykorzystanie PR-AUC (Precision-Recall AUC) oraz F1-Score jako metryk głównych. W uczeniu LSTM: ważona funkcja straty (Weighted BCE) lub Focal Loss.</w:t>
            </w:r>
          </w:p>
        </w:tc>
      </w:tr>
      <w:tr>
        <w:tc>
          <w:tcPr>
            <w:tcW w:type="dxa" w:w="2880"/>
            <w:shd w:val="clear" w:color="auto"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Brak przewagi LSTM nad modelami klasycznymi (odrzucenie H2)</w:t>
            </w:r>
          </w:p>
        </w:tc>
        <w:tc>
          <w:tcPr>
            <w:tcW w:type="dxa" w:w="3600"/>
            <w:shd w:val="clear" w:color="auto"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Podważenie zasadności stosowania modeli głębokiego uczenia w zadaniu.</w:t>
            </w:r>
          </w:p>
        </w:tc>
        <w:tc>
          <w:tcPr>
            <w:tcW w:type="dxa" w:w="3744"/>
            <w:shd w:val="clear" w:color="auto"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Rzetelne zaraportowanie wyników empirycznych. Zastosowanie wzbogaconej inżynierii cech zagregowanych w podoknach dla modeli XGBoost/Random Forest.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Pasywne porzucenie (cichy dropout) bez formalnego wyrejestrowania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Część studentów zaprzestaje nauki, lecz nie składa formalnej rezygnacji (etykieta Y = 0 pomimo faktycznego porzucenia).</w:t>
            </w:r>
          </w:p>
        </w:tc>
        <w:tc>
          <w:tcPr>
            <w:tcW w:type="dxa" w:w="374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Jawne wskazanie tego zjawiska jako formalnego ograniczenia badania. Dodatkowa analiza korelacji z polem final_result oraz modelowanie alternatywnej etykiety opartej na braku aktywności przez 28 dni.</w:t>
            </w:r>
          </w:p>
        </w:tc>
      </w:tr>
      <w:tr>
        <w:tc>
          <w:tcPr>
            <w:tcW w:type="dxa" w:w="2880"/>
            <w:shd w:val="clear" w:color="auto"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Wysoki wolumen logów interakcji (ponad 10,6 mln rekordów)</w:t>
            </w:r>
          </w:p>
        </w:tc>
        <w:tc>
          <w:tcPr>
            <w:tcW w:type="dxa" w:w="3600"/>
            <w:shd w:val="clear" w:color="auto"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Długi czas przetwarzania, wąskie gardła pamięci RAM podczas generowania sekwencji.</w:t>
            </w:r>
          </w:p>
        </w:tc>
        <w:tc>
          <w:tcPr>
            <w:tcW w:type="dxa" w:w="3744"/>
            <w:shd w:val="clear" w:color="auto"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Wstępna agregacja logów do formatu Parquet na poziomie student-dzień-kategoria zasobu. Prototypowanie na próbce reprezentatywnej dwóch modułów przed finalnym treningiem.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6"/>
        </w:rPr>
        <w:t>7. Organizacja pracy i podział ról w zespole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3321"/>
        <w:gridCol w:w="3321"/>
        <w:gridCol w:w="3321"/>
      </w:tblGrid>
      <w:tr>
        <w:tc>
          <w:tcPr>
            <w:tcW w:type="dxa" w:w="3321"/>
            <w:shd w:val="clear" w:color="auto"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Rola w zespole</w:t>
            </w:r>
          </w:p>
        </w:tc>
        <w:tc>
          <w:tcPr>
            <w:tcW w:type="dxa" w:w="3321"/>
            <w:shd w:val="clear" w:color="auto"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Osoba odpowiedzialna</w:t>
            </w:r>
          </w:p>
        </w:tc>
        <w:tc>
          <w:tcPr>
            <w:tcW w:type="dxa" w:w="3321"/>
            <w:shd w:val="clear" w:color="auto"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Szczegółowy zakres zadań i odpowiedzialności</w:t>
            </w:r>
          </w:p>
        </w:tc>
      </w:tr>
      <w:tr>
        <w:tc>
          <w:tcPr>
            <w:tcW w:type="dxa" w:w="2160"/>
            <w:shd w:val="clear" w:color="auto"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Sekretarz</w:t>
            </w:r>
          </w:p>
        </w:tc>
        <w:tc>
          <w:tcPr>
            <w:tcW w:type="dxa" w:w="3168"/>
            <w:shd w:val="clear" w:color="auto"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Patrycja Goźlińska</w:t>
            </w:r>
          </w:p>
        </w:tc>
        <w:tc>
          <w:tcPr>
            <w:tcW w:type="dxa" w:w="4896"/>
            <w:shd w:val="clear" w:color="auto"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Prowadzenie dokumentacji projektowej, nadzór nad terminowością i formalną strukturą cotygodniowych raportów, systematyzacja wniosków i przygotowanie materiałów prezentacyjnych.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Badacz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Katarzyna Rogozińska</w:t>
            </w:r>
          </w:p>
        </w:tc>
        <w:tc>
          <w:tcPr>
            <w:tcW w:type="dxa" w:w="48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Eksploracyjna analiza danych (EDA), weryfikacja założeń statystycznych (test Manna-Whitneya dla H1), ekstrakcja i interpretacja cech behawioralnych (analiza kryzysu motywacyjnego za pomocą Attention/SHAP dla H3).</w:t>
            </w:r>
          </w:p>
        </w:tc>
      </w:tr>
      <w:tr>
        <w:tc>
          <w:tcPr>
            <w:tcW w:type="dxa" w:w="2160"/>
            <w:shd w:val="clear" w:color="auto"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Moderator</w:t>
            </w:r>
          </w:p>
        </w:tc>
        <w:tc>
          <w:tcPr>
            <w:tcW w:type="dxa" w:w="3168"/>
            <w:shd w:val="clear" w:color="auto"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Weronika Bieńkowska</w:t>
            </w:r>
          </w:p>
        </w:tc>
        <w:tc>
          <w:tcPr>
            <w:tcW w:type="dxa" w:w="4896"/>
            <w:shd w:val="clear" w:color="auto"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Opracowanie architektury modeli AI (konstrukcja i trenowanie sieci LSTM w PyTorch oraz modeli referencyjnych XGBoost/Random Forest dla H2), implementacja potoku Sliding Window, koordynacja repozytorium GitHub.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6"/>
        </w:rPr>
        <w:t>8. Plan działań na kolejny etap (Zajęcia 3–4: Pozyskanie danych)</w:t>
      </w:r>
    </w:p>
    <w:p>
      <w:r>
        <w:t>Zgodnie z harmonogramem przedmiotu, kolejny etap prac obejmuje przygotowanie kompletnego raportu z pozyskania danych (Raport na zajęcia 4). Zaplanowano następujące kroki:</w:t>
      </w:r>
    </w:p>
    <w:p>
      <w:pPr>
        <w:pStyle w:val="ListBullet"/>
        <w:spacing w:after="60" w:line="276" w:lineRule="auto"/>
      </w:pPr>
      <w:r>
        <w:rPr>
          <w:b/>
        </w:rPr>
        <w:t xml:space="preserve">1. Walidacja integralności relacyjnej: </w:t>
      </w:r>
      <w:r>
        <w:t>weryfikacja spójności kluczy obcych łączących tabele studentVle, vle, assessments oraz studentRegistration, ze szczególnym uwzględnieniem identyfikatorów z wielokrotnymi rejestracjami.</w:t>
      </w:r>
    </w:p>
    <w:p>
      <w:pPr>
        <w:pStyle w:val="ListBullet"/>
        <w:spacing w:after="60" w:line="276" w:lineRule="auto"/>
      </w:pPr>
      <w:r>
        <w:rPr>
          <w:b/>
        </w:rPr>
        <w:t xml:space="preserve">2. Analiza braków danych i poprawności: </w:t>
      </w:r>
      <w:r>
        <w:t>szczegółowy audyt brakujących wartości (np. date_unregistration, score w ocenach) oraz analiza rekordów z ujemnymi wartościami date (prerejestracja).</w:t>
      </w:r>
    </w:p>
    <w:p>
      <w:pPr>
        <w:pStyle w:val="ListBullet"/>
        <w:spacing w:after="60" w:line="276" w:lineRule="auto"/>
      </w:pPr>
      <w:r>
        <w:rPr>
          <w:b/>
        </w:rPr>
        <w:t xml:space="preserve">3. Konstrukcja zautomatyzowanego pipeline'u ekstrakcji cech: </w:t>
      </w:r>
      <w:r>
        <w:t>przygotowanie skryptów w Pythonie przetwarzających logi studentVle do dziennych wektorów cech z podziałem na aktywności interaktywne i pasywne.</w:t>
      </w:r>
    </w:p>
    <w:p>
      <w:pPr>
        <w:pStyle w:val="ListBullet"/>
        <w:spacing w:after="60" w:line="276" w:lineRule="auto"/>
      </w:pPr>
      <w:r>
        <w:rPr>
          <w:b/>
        </w:rPr>
        <w:t xml:space="preserve">4. Opracowanie reprezentatywnych wizualizacji wstępnych: </w:t>
      </w:r>
      <w:r>
        <w:t>wykresy rozkładu przerw w logowaniach dla studentów rezygnujących vs zdających kurs na potrzeby raportu na zajęcia 4.</w:t>
      </w:r>
    </w:p>
    <w:p>
      <w:pPr>
        <w:spacing w:after="120"/>
      </w:pPr>
    </w:p>
    <w:p>
      <w:pPr>
        <w:keepNext/>
      </w:pPr>
      <w:r>
        <w:rPr>
          <w:b/>
          <w:sz w:val="20"/>
        </w:rPr>
        <w:t>Bibliografia i źródło danych:</w:t>
      </w:r>
    </w:p>
    <w:p>
      <w:pPr>
        <w:spacing w:after="0"/>
      </w:pPr>
      <w:r>
        <w:rPr>
          <w:i/>
          <w:sz w:val="19"/>
        </w:rPr>
        <w:t>Kuzilek, J., Hlosta, M., &amp; Zdrahal, Z. (2017). Open University Learning Analytics dataset. Scientific Data, 4, 170171. DOI: 10.1038/sdata.2017.171 (Licencja CC BY 4.0).</w:t>
      </w:r>
    </w:p>
    <w:sectPr w:rsidR="00FC693F" w:rsidRPr="0006063C" w:rsidSect="00034616"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